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UNITED STATES</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3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Form 10-Q</w:t>
      </w:r>
    </w:p>
    <w:p>
      <w:pPr>
        <w:spacing w:after="0" w:line="109" w:lineRule="exact"/>
        <w:rPr>
          <w:sz w:val="24"/>
          <w:szCs w:val="24"/>
          <w:color w:val="auto"/>
        </w:rPr>
      </w:pPr>
    </w:p>
    <w:p>
      <w:pPr>
        <w:ind w:left="410" w:hanging="410"/>
        <w:spacing w:after="0"/>
        <w:tabs>
          <w:tab w:leader="none" w:pos="41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59" w:lineRule="exact"/>
        <w:rPr>
          <w:rFonts w:ascii="MS PGothic" w:cs="MS PGothic" w:eastAsia="MS PGothic" w:hAnsi="MS PGothic"/>
          <w:sz w:val="13"/>
          <w:szCs w:val="13"/>
          <w:color w:val="auto"/>
        </w:rPr>
      </w:pPr>
    </w:p>
    <w:p>
      <w:pPr>
        <w:ind w:left="410"/>
        <w:spacing w:after="0"/>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For the quarterly period ended April 30, 2026</w:t>
      </w:r>
    </w:p>
    <w:p>
      <w:pPr>
        <w:spacing w:after="0" w:line="49" w:lineRule="exact"/>
        <w:rPr>
          <w:sz w:val="24"/>
          <w:szCs w:val="24"/>
          <w:color w:val="auto"/>
        </w:rPr>
      </w:pPr>
    </w:p>
    <w:p>
      <w:pPr>
        <w:jc w:val="center"/>
        <w:ind w:right="-89"/>
        <w:spacing w:after="0"/>
        <w:rPr>
          <w:sz w:val="20"/>
          <w:szCs w:val="20"/>
          <w:color w:val="auto"/>
        </w:rPr>
      </w:pPr>
      <w:r>
        <w:rPr>
          <w:rFonts w:ascii="Times New Roman" w:cs="Times New Roman" w:eastAsia="Times New Roman" w:hAnsi="Times New Roman"/>
          <w:sz w:val="14"/>
          <w:szCs w:val="14"/>
          <w:color w:val="auto"/>
        </w:rPr>
        <w:t>or</w:t>
      </w:r>
    </w:p>
    <w:p>
      <w:pPr>
        <w:spacing w:after="0" w:line="87" w:lineRule="exact"/>
        <w:rPr>
          <w:sz w:val="24"/>
          <w:szCs w:val="24"/>
          <w:color w:val="auto"/>
        </w:rPr>
      </w:pPr>
    </w:p>
    <w:p>
      <w:pPr>
        <w:ind w:left="630" w:right="3520" w:hanging="630"/>
        <w:spacing w:after="0" w:line="325" w:lineRule="auto"/>
        <w:tabs>
          <w:tab w:leader="none" w:pos="63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 For the transition period from to</w:t>
      </w:r>
    </w:p>
    <w:p>
      <w:pPr>
        <w:jc w:val="center"/>
        <w:ind w:right="-9"/>
        <w:spacing w:after="0"/>
        <w:rPr>
          <w:sz w:val="20"/>
          <w:szCs w:val="20"/>
          <w:color w:val="auto"/>
        </w:rPr>
      </w:pPr>
      <w:r>
        <w:rPr>
          <w:rFonts w:ascii="Times New Roman" w:cs="Times New Roman" w:eastAsia="Times New Roman" w:hAnsi="Times New Roman"/>
          <w:sz w:val="13"/>
          <w:szCs w:val="13"/>
          <w:color w:val="auto"/>
        </w:rPr>
        <w:t>Commission file numbers: 001-11331, 000-50182, 333-06693-02 and 000-50183</w:t>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Ferrellgas Partners, L.P.</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Ferrellgas, L.P.</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Ferrellgas Partners Finance Corp.</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Ferrellgas Finance Corp.</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3"/>
          <w:szCs w:val="13"/>
          <w:i w:val="1"/>
          <w:iCs w:val="1"/>
          <w:color w:val="auto"/>
        </w:rPr>
        <w:t>(Exact name of registrants as specified in their charters)</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5400" w:type="dxa"/>
            <w:vAlign w:val="bottom"/>
            <w:gridSpan w:val="2"/>
          </w:tcPr>
          <w:p>
            <w:pPr>
              <w:ind w:left="2380"/>
              <w:spacing w:after="0"/>
              <w:rPr>
                <w:sz w:val="20"/>
                <w:szCs w:val="20"/>
                <w:color w:val="auto"/>
              </w:rPr>
            </w:pPr>
            <w:r>
              <w:rPr>
                <w:rFonts w:ascii="Times New Roman" w:cs="Times New Roman" w:eastAsia="Times New Roman" w:hAnsi="Times New Roman"/>
                <w:sz w:val="13"/>
                <w:szCs w:val="13"/>
                <w:color w:val="auto"/>
              </w:rPr>
              <w:t>Delaware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43-1698480</w:t>
            </w:r>
          </w:p>
        </w:tc>
      </w:tr>
      <w:tr>
        <w:trPr>
          <w:trHeight w:val="135"/>
        </w:trPr>
        <w:tc>
          <w:tcPr>
            <w:tcW w:w="5400" w:type="dxa"/>
            <w:vAlign w:val="bottom"/>
            <w:gridSpan w:val="2"/>
          </w:tcPr>
          <w:p>
            <w:pPr>
              <w:ind w:left="2380"/>
              <w:spacing w:after="0" w:line="135" w:lineRule="exact"/>
              <w:rPr>
                <w:sz w:val="20"/>
                <w:szCs w:val="20"/>
                <w:color w:val="auto"/>
              </w:rPr>
            </w:pPr>
            <w:r>
              <w:rPr>
                <w:rFonts w:ascii="Times New Roman" w:cs="Times New Roman" w:eastAsia="Times New Roman" w:hAnsi="Times New Roman"/>
                <w:sz w:val="13"/>
                <w:szCs w:val="13"/>
                <w:color w:val="auto"/>
              </w:rPr>
              <w:t>Delaware</w:t>
            </w:r>
          </w:p>
        </w:tc>
        <w:tc>
          <w:tcPr>
            <w:tcW w:w="4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43-1698481</w:t>
            </w:r>
          </w:p>
        </w:tc>
      </w:tr>
      <w:tr>
        <w:trPr>
          <w:trHeight w:val="135"/>
        </w:trPr>
        <w:tc>
          <w:tcPr>
            <w:tcW w:w="5400" w:type="dxa"/>
            <w:vAlign w:val="bottom"/>
            <w:gridSpan w:val="2"/>
          </w:tcPr>
          <w:p>
            <w:pPr>
              <w:ind w:left="2380"/>
              <w:spacing w:after="0" w:line="135" w:lineRule="exact"/>
              <w:rPr>
                <w:sz w:val="20"/>
                <w:szCs w:val="20"/>
                <w:color w:val="auto"/>
              </w:rPr>
            </w:pPr>
            <w:r>
              <w:rPr>
                <w:rFonts w:ascii="Times New Roman" w:cs="Times New Roman" w:eastAsia="Times New Roman" w:hAnsi="Times New Roman"/>
                <w:sz w:val="13"/>
                <w:szCs w:val="13"/>
                <w:color w:val="auto"/>
              </w:rPr>
              <w:t>Delaware</w:t>
            </w:r>
          </w:p>
        </w:tc>
        <w:tc>
          <w:tcPr>
            <w:tcW w:w="4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43-1742520</w:t>
            </w:r>
          </w:p>
        </w:tc>
      </w:tr>
      <w:tr>
        <w:trPr>
          <w:trHeight w:val="153"/>
        </w:trPr>
        <w:tc>
          <w:tcPr>
            <w:tcW w:w="5400" w:type="dxa"/>
            <w:vAlign w:val="bottom"/>
            <w:gridSpan w:val="2"/>
          </w:tcPr>
          <w:p>
            <w:pPr>
              <w:ind w:left="2380"/>
              <w:spacing w:after="0"/>
              <w:rPr>
                <w:sz w:val="20"/>
                <w:szCs w:val="20"/>
                <w:color w:val="auto"/>
              </w:rPr>
            </w:pPr>
            <w:r>
              <w:rPr>
                <w:rFonts w:ascii="Times New Roman" w:cs="Times New Roman" w:eastAsia="Times New Roman" w:hAnsi="Times New Roman"/>
                <w:sz w:val="13"/>
                <w:szCs w:val="13"/>
                <w:color w:val="auto"/>
              </w:rPr>
              <w:t>Delaware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14-1866671</w:t>
            </w:r>
          </w:p>
        </w:tc>
      </w:tr>
      <w:tr>
        <w:trPr>
          <w:trHeight w:val="158"/>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(States or other jurisdictions of incorporation or organization)</w:t>
            </w:r>
          </w:p>
        </w:tc>
        <w:tc>
          <w:tcPr>
            <w:tcW w:w="200" w:type="dxa"/>
            <w:vAlign w:val="bottom"/>
          </w:tcPr>
          <w:p>
            <w:pPr>
              <w:spacing w:after="0"/>
              <w:rPr>
                <w:sz w:val="13"/>
                <w:szCs w:val="13"/>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(I.R.S. Employer Identification Nos.)</w:t>
            </w:r>
          </w:p>
        </w:tc>
      </w:tr>
      <w:tr>
        <w:trPr>
          <w:trHeight w:val="155"/>
        </w:trPr>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One Liberty Plaza,</w:t>
            </w:r>
          </w:p>
        </w:tc>
        <w:tc>
          <w:tcPr>
            <w:tcW w:w="4820" w:type="dxa"/>
            <w:vAlign w:val="bottom"/>
          </w:tcPr>
          <w:p>
            <w:pPr>
              <w:spacing w:after="0"/>
              <w:rPr>
                <w:sz w:val="13"/>
                <w:szCs w:val="13"/>
                <w:color w:val="auto"/>
              </w:rPr>
            </w:pPr>
          </w:p>
        </w:tc>
      </w:tr>
      <w:tr>
        <w:trPr>
          <w:trHeight w:val="153"/>
        </w:trPr>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Liberty, Missouri</w:t>
            </w: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64068</w:t>
            </w:r>
          </w:p>
        </w:tc>
      </w:tr>
      <w:tr>
        <w:trPr>
          <w:trHeight w:val="158"/>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(Address of principal executive office)</w:t>
            </w:r>
          </w:p>
        </w:tc>
        <w:tc>
          <w:tcPr>
            <w:tcW w:w="200" w:type="dxa"/>
            <w:vAlign w:val="bottom"/>
          </w:tcPr>
          <w:p>
            <w:pPr>
              <w:spacing w:after="0"/>
              <w:rPr>
                <w:sz w:val="13"/>
                <w:szCs w:val="13"/>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3"/>
          <w:szCs w:val="13"/>
          <w:color w:val="auto"/>
        </w:rPr>
        <w:t>Registrants’ telephone number, including area code: (816) 792-1600</w:t>
      </w:r>
    </w:p>
    <w:p>
      <w:pPr>
        <w:spacing w:after="0" w:line="67" w:lineRule="exact"/>
        <w:rPr>
          <w:sz w:val="24"/>
          <w:szCs w:val="24"/>
          <w:color w:val="auto"/>
        </w:rPr>
      </w:pPr>
    </w:p>
    <w:p>
      <w:pPr>
        <w:ind w:left="330" w:right="1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330" w:right="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330" w:right="4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Ferrellgas Partners, L.P.:</w:t>
            </w:r>
          </w:p>
        </w:tc>
        <w:tc>
          <w:tcPr>
            <w:tcW w:w="2640" w:type="dxa"/>
            <w:vAlign w:val="bottom"/>
            <w:vMerge w:val="restart"/>
          </w:tcPr>
          <w:p>
            <w:pPr>
              <w:ind w:left="60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2420" w:type="dxa"/>
            <w:vAlign w:val="bottom"/>
            <w:vMerge w:val="restart"/>
          </w:tcPr>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2240" w:type="dxa"/>
            <w:vAlign w:val="bottom"/>
            <w:vMerge w:val="restart"/>
          </w:tcPr>
          <w:p>
            <w:pPr>
              <w:ind w:left="640"/>
              <w:spacing w:after="0" w:line="150" w:lineRule="exact"/>
              <w:rPr>
                <w:sz w:val="20"/>
                <w:szCs w:val="20"/>
                <w:color w:val="auto"/>
              </w:rPr>
            </w:pPr>
            <w:r>
              <w:rPr>
                <w:rFonts w:ascii="Times New Roman" w:cs="Times New Roman" w:eastAsia="Times New Roman" w:hAnsi="Times New Roman"/>
                <w:sz w:val="13"/>
                <w:szCs w:val="13"/>
                <w:color w:val="auto"/>
                <w:w w:val="95"/>
              </w:rPr>
              <w:t xml:space="preserve">Smaller Reporting Company </w:t>
            </w:r>
            <w:r>
              <w:rPr>
                <w:rFonts w:ascii="MS PGothic" w:cs="MS PGothic" w:eastAsia="MS PGothic" w:hAnsi="MS PGothic"/>
                <w:sz w:val="13"/>
                <w:szCs w:val="13"/>
                <w:color w:val="auto"/>
                <w:w w:val="95"/>
              </w:rPr>
              <w:t>☒</w:t>
            </w:r>
          </w:p>
        </w:tc>
        <w:tc>
          <w:tcPr>
            <w:tcW w:w="0" w:type="dxa"/>
            <w:vAlign w:val="bottom"/>
          </w:tcPr>
          <w:p>
            <w:pPr>
              <w:spacing w:after="0"/>
              <w:rPr>
                <w:sz w:val="1"/>
                <w:szCs w:val="1"/>
                <w:color w:val="auto"/>
              </w:rPr>
            </w:pPr>
          </w:p>
        </w:tc>
      </w:tr>
      <w:tr>
        <w:trPr>
          <w:trHeight w:val="149"/>
        </w:trPr>
        <w:tc>
          <w:tcPr>
            <w:tcW w:w="19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264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ind w:left="640"/>
              <w:spacing w:after="0" w:line="150" w:lineRule="exact"/>
              <w:rPr>
                <w:sz w:val="20"/>
                <w:szCs w:val="20"/>
                <w:color w:val="auto"/>
              </w:rPr>
            </w:pPr>
            <w:r>
              <w:rPr>
                <w:rFonts w:ascii="Times New Roman" w:cs="Times New Roman" w:eastAsia="Times New Roman" w:hAnsi="Times New Roman"/>
                <w:sz w:val="13"/>
                <w:szCs w:val="13"/>
                <w:color w:val="auto"/>
                <w:w w:val="96"/>
              </w:rPr>
              <w:t xml:space="preserve">Emerging Growth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52"/>
        </w:trPr>
        <w:tc>
          <w:tcPr>
            <w:tcW w:w="4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Ferrellgas, L.P., Ferrellgas Partners Finance Corp. and Ferrellgas Finance Corp.:</w:t>
            </w:r>
          </w:p>
        </w:tc>
        <w:tc>
          <w:tcPr>
            <w:tcW w:w="2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2640" w:type="dxa"/>
            <w:vAlign w:val="bottom"/>
          </w:tcPr>
          <w:p>
            <w:pPr>
              <w:ind w:left="600"/>
              <w:spacing w:after="0" w:line="161"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4"/>
                <w:szCs w:val="14"/>
                <w:color w:val="auto"/>
              </w:rPr>
              <w:t>☐</w:t>
            </w:r>
          </w:p>
        </w:tc>
        <w:tc>
          <w:tcPr>
            <w:tcW w:w="2420" w:type="dxa"/>
            <w:vAlign w:val="bottom"/>
          </w:tcPr>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2240" w:type="dxa"/>
            <w:vAlign w:val="bottom"/>
          </w:tcPr>
          <w:p>
            <w:pPr>
              <w:ind w:left="640"/>
              <w:spacing w:after="0" w:line="150" w:lineRule="exact"/>
              <w:rPr>
                <w:sz w:val="20"/>
                <w:szCs w:val="20"/>
                <w:color w:val="auto"/>
              </w:rPr>
            </w:pPr>
            <w:r>
              <w:rPr>
                <w:rFonts w:ascii="Times New Roman" w:cs="Times New Roman" w:eastAsia="Times New Roman" w:hAnsi="Times New Roman"/>
                <w:sz w:val="13"/>
                <w:szCs w:val="13"/>
                <w:color w:val="auto"/>
                <w:w w:val="95"/>
              </w:rPr>
              <w:t xml:space="preserve">Smaller Reporting Company </w:t>
            </w:r>
            <w:r>
              <w:rPr>
                <w:rFonts w:ascii="MS PGothic" w:cs="MS PGothic" w:eastAsia="MS PGothic" w:hAnsi="MS PGothic"/>
                <w:sz w:val="13"/>
                <w:szCs w:val="13"/>
                <w:color w:val="auto"/>
                <w:w w:val="95"/>
              </w:rPr>
              <w:t>☒</w:t>
            </w: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ind w:left="640"/>
              <w:spacing w:after="0" w:line="150" w:lineRule="exact"/>
              <w:rPr>
                <w:sz w:val="20"/>
                <w:szCs w:val="20"/>
                <w:color w:val="auto"/>
              </w:rPr>
            </w:pPr>
            <w:r>
              <w:rPr>
                <w:rFonts w:ascii="Times New Roman" w:cs="Times New Roman" w:eastAsia="Times New Roman" w:hAnsi="Times New Roman"/>
                <w:sz w:val="13"/>
                <w:szCs w:val="13"/>
                <w:color w:val="auto"/>
                <w:w w:val="96"/>
              </w:rPr>
              <w:t xml:space="preserve">Emerging Growth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330" w:right="500"/>
        <w:spacing w:after="0"/>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3" w:lineRule="exact"/>
        <w:rPr>
          <w:sz w:val="24"/>
          <w:szCs w:val="24"/>
          <w:color w:val="auto"/>
        </w:rPr>
      </w:pPr>
    </w:p>
    <w:p>
      <w:pPr>
        <w:ind w:left="330"/>
        <w:spacing w:after="0" w:line="150" w:lineRule="exact"/>
        <w:rPr>
          <w:sz w:val="20"/>
          <w:szCs w:val="20"/>
          <w:color w:val="auto"/>
        </w:rPr>
      </w:pPr>
      <w:r>
        <w:rPr>
          <w:rFonts w:ascii="Times New Roman" w:cs="Times New Roman" w:eastAsia="Times New Roman" w:hAnsi="Times New Roman"/>
          <w:sz w:val="13"/>
          <w:szCs w:val="13"/>
          <w:color w:val="auto"/>
        </w:rPr>
        <w:t xml:space="preserve">Ferrellgas Partners, L.P. and Ferrellgas, L.P. </w:t>
      </w:r>
      <w:r>
        <w:rPr>
          <w:rFonts w:ascii="MS PGothic" w:cs="MS PGothic" w:eastAsia="MS PGothic" w:hAnsi="MS PGothic"/>
          <w:sz w:val="13"/>
          <w:szCs w:val="13"/>
          <w:color w:val="auto"/>
        </w:rPr>
        <w:t>☐</w:t>
      </w:r>
    </w:p>
    <w:p>
      <w:pPr>
        <w:spacing w:after="0" w:line="67" w:lineRule="exact"/>
        <w:rPr>
          <w:sz w:val="24"/>
          <w:szCs w:val="24"/>
          <w:color w:val="auto"/>
        </w:rPr>
      </w:pPr>
    </w:p>
    <w:p>
      <w:pPr>
        <w:ind w:left="330"/>
        <w:spacing w:after="0" w:line="150" w:lineRule="exact"/>
        <w:rPr>
          <w:sz w:val="20"/>
          <w:szCs w:val="20"/>
          <w:color w:val="auto"/>
        </w:rPr>
      </w:pPr>
      <w:r>
        <w:rPr>
          <w:rFonts w:ascii="Times New Roman" w:cs="Times New Roman" w:eastAsia="Times New Roman" w:hAnsi="Times New Roman"/>
          <w:sz w:val="13"/>
          <w:szCs w:val="13"/>
          <w:color w:val="auto"/>
        </w:rPr>
        <w:t xml:space="preserve">Ferrellgas Partners Finance Corp. and Ferrellgas Finance Corp. </w:t>
      </w:r>
      <w:r>
        <w:rPr>
          <w:rFonts w:ascii="MS PGothic" w:cs="MS PGothic" w:eastAsia="MS PGothic" w:hAnsi="MS PGothic"/>
          <w:sz w:val="13"/>
          <w:szCs w:val="13"/>
          <w:color w:val="auto"/>
        </w:rPr>
        <w:t>☐</w:t>
      </w:r>
    </w:p>
    <w:p>
      <w:pPr>
        <w:spacing w:after="0" w:line="82"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3"/>
          <w:szCs w:val="13"/>
          <w:color w:val="auto"/>
        </w:rPr>
        <w:t>Indicate by check mark whether the registrants are shell companies (as defined in Rule 12b-2 of the Exchange Act).</w:t>
      </w:r>
    </w:p>
    <w:p>
      <w:pPr>
        <w:spacing w:after="0" w:line="51" w:lineRule="exact"/>
        <w:rPr>
          <w:sz w:val="24"/>
          <w:szCs w:val="24"/>
          <w:color w:val="auto"/>
        </w:rPr>
      </w:pPr>
    </w:p>
    <w:p>
      <w:pPr>
        <w:ind w:left="330"/>
        <w:spacing w:after="0" w:line="150" w:lineRule="exact"/>
        <w:rPr>
          <w:sz w:val="20"/>
          <w:szCs w:val="20"/>
          <w:color w:val="auto"/>
        </w:rPr>
      </w:pPr>
      <w:r>
        <w:rPr>
          <w:rFonts w:ascii="Times New Roman" w:cs="Times New Roman" w:eastAsia="Times New Roman" w:hAnsi="Times New Roman"/>
          <w:sz w:val="13"/>
          <w:szCs w:val="13"/>
          <w:color w:val="auto"/>
        </w:rPr>
        <w:t xml:space="preserve">Ferrellgas Partners, L.P. and Ferrellgas, L.P.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ind w:left="330"/>
        <w:spacing w:after="0" w:line="150" w:lineRule="exact"/>
        <w:rPr>
          <w:sz w:val="20"/>
          <w:szCs w:val="20"/>
          <w:color w:val="auto"/>
        </w:rPr>
      </w:pPr>
      <w:r>
        <w:rPr>
          <w:rFonts w:ascii="Times New Roman" w:cs="Times New Roman" w:eastAsia="Times New Roman" w:hAnsi="Times New Roman"/>
          <w:sz w:val="13"/>
          <w:szCs w:val="13"/>
          <w:color w:val="auto"/>
        </w:rPr>
        <w:t xml:space="preserve">Ferrellgas Partners Finance Corp. and Ferrellgas Finance Corp.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left="330" w:right="380"/>
        <w:spacing w:after="0"/>
        <w:rPr>
          <w:sz w:val="20"/>
          <w:szCs w:val="20"/>
          <w:color w:val="auto"/>
        </w:rPr>
      </w:pPr>
      <w:r>
        <w:rPr>
          <w:rFonts w:ascii="Times New Roman" w:cs="Times New Roman" w:eastAsia="Times New Roman" w:hAnsi="Times New Roman"/>
          <w:sz w:val="13"/>
          <w:szCs w:val="13"/>
          <w:color w:val="auto"/>
        </w:rPr>
        <w:t>Indicate by check mark whether the registrants have filed all documents and reports required to be filed by Sections 12, 13 or 15(d) of the Securities Exchange Act of 1934 subsequent to the distribution of securities under a plan confirmed by a court.</w:t>
      </w:r>
    </w:p>
    <w:p>
      <w:pPr>
        <w:spacing w:after="0" w:line="37" w:lineRule="exact"/>
        <w:rPr>
          <w:sz w:val="24"/>
          <w:szCs w:val="24"/>
          <w:color w:val="auto"/>
        </w:rPr>
      </w:pPr>
    </w:p>
    <w:p>
      <w:pPr>
        <w:ind w:left="330"/>
        <w:spacing w:after="0" w:line="150" w:lineRule="exact"/>
        <w:rPr>
          <w:sz w:val="20"/>
          <w:szCs w:val="20"/>
          <w:color w:val="auto"/>
        </w:rPr>
      </w:pPr>
      <w:r>
        <w:rPr>
          <w:rFonts w:ascii="Times New Roman" w:cs="Times New Roman" w:eastAsia="Times New Roman" w:hAnsi="Times New Roman"/>
          <w:sz w:val="13"/>
          <w:szCs w:val="13"/>
          <w:color w:val="auto"/>
        </w:rPr>
        <w:t xml:space="preserve">Ferrellgas Partners, L.P. and Ferrellgas Partners Finance Corp.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3"/>
          <w:szCs w:val="13"/>
          <w:color w:val="auto"/>
        </w:rPr>
        <w:t>Ferrellgas, L.P. and Ferrellgas Finance Corp. N/A</w:t>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83" w:lineRule="exact"/>
        <w:rPr>
          <w:sz w:val="24"/>
          <w:szCs w:val="24"/>
          <w:color w:val="auto"/>
        </w:rPr>
      </w:pPr>
    </w:p>
    <w:tbl>
      <w:tblPr>
        <w:tblLayout w:type="fixed"/>
        <w:tblInd w:w="1030" w:type="dxa"/>
        <w:tblCellMar>
          <w:top w:w="0" w:type="dxa"/>
          <w:left w:w="0" w:type="dxa"/>
          <w:bottom w:w="0" w:type="dxa"/>
          <w:right w:w="0" w:type="dxa"/>
        </w:tblCellMar>
      </w:tblPr>
      <w:tr>
        <w:trPr>
          <w:trHeight w:val="137"/>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256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8"/>
        </w:trPr>
        <w:tc>
          <w:tcPr>
            <w:tcW w:w="27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tcPr>
          <w:p>
            <w:pPr>
              <w:jc w:val="center"/>
              <w:ind w:right="382"/>
              <w:spacing w:after="0" w:line="138" w:lineRule="exact"/>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560" w:type="dxa"/>
            <w:vAlign w:val="bottom"/>
            <w:tcBorders>
              <w:top w:val="single" w:sz="8" w:color="auto"/>
            </w:tcBorders>
          </w:tcPr>
          <w:p>
            <w:pPr>
              <w:jc w:val="center"/>
              <w:ind w:right="122"/>
              <w:spacing w:after="0" w:line="138" w:lineRule="exact"/>
              <w:rPr>
                <w:sz w:val="20"/>
                <w:szCs w:val="20"/>
                <w:color w:val="auto"/>
              </w:rPr>
            </w:pPr>
            <w:r>
              <w:rPr>
                <w:rFonts w:ascii="Times New Roman" w:cs="Times New Roman" w:eastAsia="Times New Roman" w:hAnsi="Times New Roman"/>
                <w:sz w:val="13"/>
                <w:szCs w:val="13"/>
                <w:color w:val="auto"/>
                <w:w w:val="98"/>
              </w:rPr>
              <w:t>N/A</w:t>
            </w:r>
          </w:p>
        </w:tc>
      </w:tr>
    </w:tbl>
    <w:p>
      <w:pPr>
        <w:ind w:left="330"/>
        <w:spacing w:after="0"/>
        <w:rPr>
          <w:sz w:val="20"/>
          <w:szCs w:val="20"/>
          <w:color w:val="auto"/>
        </w:rPr>
      </w:pPr>
      <w:r>
        <w:rPr>
          <w:rFonts w:ascii="Times New Roman" w:cs="Times New Roman" w:eastAsia="Times New Roman" w:hAnsi="Times New Roman"/>
          <w:sz w:val="13"/>
          <w:szCs w:val="13"/>
          <w:color w:val="auto"/>
        </w:rPr>
        <w:t>At May 29, 2026, the registrants had Class A Units or shares of common stock outstanding as follows:</w:t>
      </w:r>
    </w:p>
    <w:p>
      <w:pPr>
        <w:spacing w:after="0" w:line="25" w:lineRule="exact"/>
        <w:rPr>
          <w:sz w:val="24"/>
          <w:szCs w:val="24"/>
          <w:color w:val="auto"/>
        </w:rPr>
      </w:pPr>
    </w:p>
    <w:tbl>
      <w:tblPr>
        <w:tblLayout w:type="fixed"/>
        <w:tblInd w:w="710" w:type="dxa"/>
        <w:tblCellMar>
          <w:top w:w="0" w:type="dxa"/>
          <w:left w:w="0" w:type="dxa"/>
          <w:bottom w:w="0" w:type="dxa"/>
          <w:right w:w="0" w:type="dxa"/>
        </w:tblCellMar>
      </w:tblPr>
      <w:tr>
        <w:trPr>
          <w:trHeight w:val="149"/>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Ferrellgas Partners, L.P.</w:t>
            </w:r>
          </w:p>
        </w:tc>
        <w:tc>
          <w:tcPr>
            <w:tcW w:w="31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5"/>
              </w:rPr>
              <w:t>11,357,605</w:t>
            </w:r>
          </w:p>
        </w:tc>
        <w:tc>
          <w:tcPr>
            <w:tcW w:w="2160" w:type="dxa"/>
            <w:vAlign w:val="bottom"/>
          </w:tcPr>
          <w:p>
            <w:pPr>
              <w:jc w:val="center"/>
              <w:ind w:left="1317"/>
              <w:spacing w:after="0"/>
              <w:rPr>
                <w:sz w:val="20"/>
                <w:szCs w:val="20"/>
                <w:color w:val="auto"/>
              </w:rPr>
            </w:pPr>
            <w:r>
              <w:rPr>
                <w:rFonts w:ascii="Times New Roman" w:cs="Times New Roman" w:eastAsia="Times New Roman" w:hAnsi="Times New Roman"/>
                <w:sz w:val="13"/>
                <w:szCs w:val="13"/>
                <w:color w:val="auto"/>
                <w:w w:val="96"/>
              </w:rPr>
              <w:t>Class A Units</w:t>
            </w:r>
          </w:p>
        </w:tc>
      </w:tr>
      <w:tr>
        <w:trPr>
          <w:trHeight w:val="135"/>
        </w:trPr>
        <w:tc>
          <w:tcPr>
            <w:tcW w:w="29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Ferrellgas, L.P.</w:t>
            </w:r>
          </w:p>
        </w:tc>
        <w:tc>
          <w:tcPr>
            <w:tcW w:w="3140" w:type="dxa"/>
            <w:vAlign w:val="bottom"/>
          </w:tcPr>
          <w:p>
            <w:pPr>
              <w:ind w:left="142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2160" w:type="dxa"/>
            <w:vAlign w:val="bottom"/>
          </w:tcPr>
          <w:p>
            <w:pPr>
              <w:jc w:val="center"/>
              <w:ind w:left="1297"/>
              <w:spacing w:after="0" w:line="135" w:lineRule="exact"/>
              <w:rPr>
                <w:sz w:val="20"/>
                <w:szCs w:val="20"/>
                <w:color w:val="auto"/>
              </w:rPr>
            </w:pPr>
            <w:r>
              <w:rPr>
                <w:rFonts w:ascii="Times New Roman" w:cs="Times New Roman" w:eastAsia="Times New Roman" w:hAnsi="Times New Roman"/>
                <w:sz w:val="13"/>
                <w:szCs w:val="13"/>
                <w:color w:val="auto"/>
              </w:rPr>
              <w:t>n/a</w:t>
            </w:r>
          </w:p>
        </w:tc>
      </w:tr>
      <w:tr>
        <w:trPr>
          <w:trHeight w:val="135"/>
        </w:trPr>
        <w:tc>
          <w:tcPr>
            <w:tcW w:w="29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Ferrellgas Partners Finance Corp.</w:t>
            </w:r>
          </w:p>
        </w:tc>
        <w:tc>
          <w:tcPr>
            <w:tcW w:w="31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color w:val="auto"/>
                <w:w w:val="95"/>
              </w:rPr>
              <w:t>1,000</w:t>
            </w:r>
          </w:p>
        </w:tc>
        <w:tc>
          <w:tcPr>
            <w:tcW w:w="2160" w:type="dxa"/>
            <w:vAlign w:val="bottom"/>
          </w:tcPr>
          <w:p>
            <w:pPr>
              <w:jc w:val="center"/>
              <w:ind w:left="1317"/>
              <w:spacing w:after="0" w:line="135" w:lineRule="exact"/>
              <w:rPr>
                <w:sz w:val="20"/>
                <w:szCs w:val="20"/>
                <w:color w:val="auto"/>
              </w:rPr>
            </w:pPr>
            <w:r>
              <w:rPr>
                <w:rFonts w:ascii="Times New Roman" w:cs="Times New Roman" w:eastAsia="Times New Roman" w:hAnsi="Times New Roman"/>
                <w:sz w:val="13"/>
                <w:szCs w:val="13"/>
                <w:color w:val="auto"/>
                <w:w w:val="95"/>
              </w:rPr>
              <w:t>Common Stock</w:t>
            </w:r>
          </w:p>
        </w:tc>
      </w:tr>
      <w:tr>
        <w:trPr>
          <w:trHeight w:val="164"/>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Ferrellgas Finance Corp.</w:t>
            </w:r>
          </w:p>
        </w:tc>
        <w:tc>
          <w:tcPr>
            <w:tcW w:w="31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5"/>
              </w:rPr>
              <w:t>1,000</w:t>
            </w:r>
          </w:p>
        </w:tc>
        <w:tc>
          <w:tcPr>
            <w:tcW w:w="2160" w:type="dxa"/>
            <w:vAlign w:val="bottom"/>
          </w:tcPr>
          <w:p>
            <w:pPr>
              <w:jc w:val="center"/>
              <w:ind w:left="1317"/>
              <w:spacing w:after="0"/>
              <w:rPr>
                <w:sz w:val="20"/>
                <w:szCs w:val="20"/>
                <w:color w:val="auto"/>
              </w:rPr>
            </w:pPr>
            <w:r>
              <w:rPr>
                <w:rFonts w:ascii="Times New Roman" w:cs="Times New Roman" w:eastAsia="Times New Roman" w:hAnsi="Times New Roman"/>
                <w:sz w:val="13"/>
                <w:szCs w:val="13"/>
                <w:color w:val="auto"/>
                <w:w w:val="95"/>
              </w:rPr>
              <w:t>Common Stock</w:t>
            </w:r>
          </w:p>
        </w:tc>
      </w:tr>
    </w:tbl>
    <w:p>
      <w:pPr>
        <w:spacing w:after="0" w:line="187"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3"/>
          <w:szCs w:val="13"/>
          <w:color w:val="auto"/>
        </w:rPr>
        <w:t>Documents Incorporated by Reference: None</w:t>
      </w:r>
    </w:p>
    <w:p>
      <w:pPr>
        <w:spacing w:after="0" w:line="53" w:lineRule="exact"/>
        <w:rPr>
          <w:sz w:val="24"/>
          <w:szCs w:val="24"/>
          <w:color w:val="auto"/>
        </w:rPr>
      </w:pPr>
    </w:p>
    <w:p>
      <w:pPr>
        <w:ind w:left="10" w:right="220"/>
        <w:spacing w:after="0"/>
        <w:rPr>
          <w:sz w:val="20"/>
          <w:szCs w:val="20"/>
          <w:color w:val="auto"/>
        </w:rPr>
      </w:pPr>
      <w:r>
        <w:rPr>
          <w:rFonts w:ascii="Times New Roman" w:cs="Times New Roman" w:eastAsia="Times New Roman" w:hAnsi="Times New Roman"/>
          <w:sz w:val="13"/>
          <w:szCs w:val="13"/>
          <w:color w:val="auto"/>
        </w:rPr>
        <w:t>EACH OF FERRELLGAS PARTNERS FINANCE CORP. AND FERRELLGAS FINANCE CORP. MEET THE CONDITIONS SET FORTH IN GENERAL INSTRUCTION H(1)(A) AND (B) OF FORM 10-Q AND ARE THEREFORE, WITH RESPECT TO EACH SUCH REGISTRANT,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481965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61595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104775</wp:posOffset>
            </wp:positionV>
            <wp:extent cx="64979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April 30, 2026 of Ferrellgas Partners, L.P. together with its consolidated subsidiaries, including Ferrellgas, L.P., Ferrellgas Partners Finance Corp., and Ferrellgas Finance Corp. Unless stated otherwise or the context otherwise requires, references to “Ferrellgas Partners” refers to Ferrellgas Partners, L.P. itself, with its consolidated subsidiaries. References to the “operating partnership” mean Ferrellgas, L.P., together (except where the context indicates otherwise) with its consolidated subsidiaries, including Ferrellgas Finance Corp. The terms “us,” “we,” “our,” “ours,” “consolidated,” the “Company” or “Ferrellgas” refer to Ferrellgas Partners, L.P. together with its consolidated subsidiaries, including Ferrellgas, L.P., Ferrellgas Partners Finance Corp. and Ferrellgas Finance Corp., except when used in connection with “Class A Units” or “Class B Units,” in which case these terms refer to Ferrellgas Partners, L.P. without its consolidated subsidiaries. On March 16, 2026, all Class B Units were converted to Class A Units. See Note F “Equity (Deficit)” for more information.</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Ferrellgas Partners is a publicly traded Delaware limited partnership formed in 1994 and is primarily engaged in the retail distribution of propane and related equipment sales. Our Class A Units are traded on the OTC Market under the symbol “FGPR.” The operating partnership was formed on April 22, 1994, and accounts for substantially all of our consolidated assets, sales and operating earnings.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Ferrellgas Partners is a holding entity that conducts no operations and has two direct subsidiaries, the operating partnership and Ferrellgas Partners Finance Corp. Our activities are primarily conducted through the operating partnership. Ferrellgas Partners and the Preferred Unitholders are the only limited partners of the operating partnership. Ferrellgas, Inc. is the sole general partner of Ferrellgas Partners and the operating partnership and, excluding the economic interests attributable to Preferred Units, owns an approximate 0.4% general partner economic interest in Ferrellgas Partners and an approximate 1.0% general partner economic interest in the operating partnership, and, therefore, an effective 1.4% general partner economic interest. Excluding the economic interests attributable to the Preferred Units, Ferrellgas Partners owns an approximate 99.0% limited partner interest in the operating partnership.</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general partner performs all management functions for us. The parent company of our general partner, Ferrell Companies, currently beneficially owns approximately 10.0% of our outstanding Class A Units. Ferrell Companies is owned 100% by an employee stock ownership trust.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combining the quarterly reports on Form 10-Q for these entities provides the following benefits:</w:t>
      </w:r>
    </w:p>
    <w:p>
      <w:pPr>
        <w:spacing w:after="0" w:line="117" w:lineRule="exact"/>
        <w:rPr>
          <w:sz w:val="20"/>
          <w:szCs w:val="20"/>
          <w:color w:val="auto"/>
        </w:rPr>
      </w:pPr>
    </w:p>
    <w:p>
      <w:pPr>
        <w:ind w:left="720" w:right="79" w:hanging="319"/>
        <w:spacing w:after="0" w:line="28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Ferrellgas Partners and the operating partnership by enabling investors to view the business as a whole in the same manner that management views and operates the business;</w:t>
      </w:r>
    </w:p>
    <w:p>
      <w:pPr>
        <w:spacing w:after="0" w:line="1"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since a substantial portion of the disclosure applies to both Ferrellgas Partners and the operating partnership;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a combined presentation.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To help investors understand the differences between Ferrellgas Partners and the operating partnership, this report provides separate condensed consolidated financial statements for Ferrellgas Partners and the operating partnership. Noncontrolling interests, Class A Units, Class B Units, shareholders' equity (deficit) and partners' deficit are the main areas of difference between the condensed consolidated financial statements of Ferrellgas Partners and those of the operating partnership. A single set of notes to condensed consolidated financial statements is presented that includes separate discussions for Ferrellgas Partners and the operating partnership, when applicable. A combined Management's Discussion and Analysis of Financial Condition and Results of Operations section is also included that presents combined information and discrete information related to each entity, as applicable.</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order to highlight the differences between Ferrellgas Partners and the operating partnership, this report includes the following sections that provide separate financial information for Ferrellgas Partners and the operating partnership:</w:t>
      </w:r>
    </w:p>
    <w:p>
      <w:pPr>
        <w:spacing w:after="0" w:line="54"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and</w:t>
      </w:r>
    </w:p>
    <w:p>
      <w:pPr>
        <w:spacing w:after="0" w:line="6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accompanying notes to condensed consolidated financial statements, which denote “</w:t>
      </w:r>
      <w:r>
        <w:rPr>
          <w:rFonts w:ascii="Times New Roman" w:cs="Times New Roman" w:eastAsia="Times New Roman" w:hAnsi="Times New Roman"/>
          <w:sz w:val="18"/>
          <w:szCs w:val="18"/>
          <w:u w:val="single" w:color="auto"/>
          <w:color w:val="auto"/>
        </w:rPr>
        <w:t>Ferrellgas Partners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operating partnership</w:t>
      </w:r>
      <w:r>
        <w:rPr>
          <w:rFonts w:ascii="Times New Roman" w:cs="Times New Roman" w:eastAsia="Times New Roman" w:hAnsi="Times New Roman"/>
          <w:sz w:val="18"/>
          <w:szCs w:val="18"/>
          <w:color w:val="auto"/>
        </w:rPr>
        <w:t>” in sections where applicable.</w:t>
      </w:r>
    </w:p>
    <w:p>
      <w:pPr>
        <w:sectPr>
          <w:pgSz w:w="11900" w:h="16838" w:orient="portrait"/>
          <w:cols w:equalWidth="0" w:num="1">
            <w:col w:w="9019"/>
          </w:cols>
          <w:pgMar w:left="1440" w:top="513" w:right="1440"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00" w:type="dxa"/>
            <w:vAlign w:val="bottom"/>
            <w:gridSpan w:val="22"/>
            <w:vMerge w:val="restart"/>
          </w:tcPr>
          <w:p>
            <w:pPr>
              <w:jc w:val="center"/>
              <w:ind w:right="2800"/>
              <w:spacing w:after="0"/>
              <w:rPr>
                <w:sz w:val="20"/>
                <w:szCs w:val="20"/>
                <w:color w:val="auto"/>
              </w:rPr>
            </w:pPr>
            <w:r>
              <w:rPr>
                <w:rFonts w:ascii="Times New Roman" w:cs="Times New Roman" w:eastAsia="Times New Roman" w:hAnsi="Times New Roman"/>
                <w:sz w:val="18"/>
                <w:szCs w:val="18"/>
                <w:color w:val="0000EE"/>
                <w:w w:val="96"/>
              </w:rPr>
              <w:t>PART I - FINANCIAL INFORMATION</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700" w:type="dxa"/>
            <w:vAlign w:val="bottom"/>
            <w:gridSpan w:val="22"/>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6"/>
              </w:rPr>
              <w:t>ITEM 1.</w:t>
            </w:r>
          </w:p>
        </w:tc>
        <w:tc>
          <w:tcPr>
            <w:tcW w:w="280" w:type="dxa"/>
            <w:vAlign w:val="bottom"/>
            <w:gridSpan w:val="2"/>
          </w:tcPr>
          <w:p>
            <w:pPr>
              <w:spacing w:after="0"/>
              <w:rPr>
                <w:sz w:val="18"/>
                <w:szCs w:val="18"/>
                <w:color w:val="auto"/>
              </w:rPr>
            </w:pPr>
          </w:p>
        </w:tc>
        <w:tc>
          <w:tcPr>
            <w:tcW w:w="76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Ferrellgas Partners, L.P.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 April 30, 2026 and July 31, 2025</w:t>
            </w:r>
          </w:p>
        </w:tc>
        <w:tc>
          <w:tcPr>
            <w:tcW w:w="212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 Three and nine months ended April 30, 2026 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 Three and nine months ended April 30,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w:t>
            </w:r>
          </w:p>
        </w:tc>
        <w:tc>
          <w:tcPr>
            <w:tcW w:w="6380" w:type="dxa"/>
            <w:vAlign w:val="bottom"/>
            <w:tcBorders>
              <w:top w:val="single" w:sz="8" w:color="0000EE"/>
            </w:tcBorders>
            <w:gridSpan w:val="25"/>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Deficit – Three and nine months ended April 30, 2026 and 2025</w:t>
            </w:r>
          </w:p>
        </w:tc>
        <w:tc>
          <w:tcPr>
            <w:tcW w:w="12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 Nine months ended April 30, 2026 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44"/>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0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b w:val="1"/>
                <w:bCs w:val="1"/>
                <w:color w:val="0000EE"/>
              </w:rPr>
              <w:t>Ferrellgas, L.P. and Subsidiaries</w:t>
            </w:r>
          </w:p>
        </w:tc>
        <w:tc>
          <w:tcPr>
            <w:tcW w:w="5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 April 30, 2026 and July 31, 2025</w:t>
            </w:r>
          </w:p>
        </w:tc>
        <w:tc>
          <w:tcPr>
            <w:tcW w:w="212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 Three and nine months ended April 30, 2026 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 Three and nine months ended April 30,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Partners’ Deficit – Three and nine months ended April 30, 2026</w:t>
            </w:r>
          </w:p>
        </w:tc>
        <w:tc>
          <w:tcPr>
            <w:tcW w:w="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 Nine months ended April 30, 2026 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tcBorders>
              <w:top w:val="single" w:sz="8" w:color="0000EE"/>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b w:val="1"/>
                <w:bCs w:val="1"/>
                <w:color w:val="0000EE"/>
                <w:w w:val="99"/>
              </w:rPr>
              <w:t>Ferrellgas Partners, L.P. and Subsidiaries and Ferrellgas, L.P. and Subsidiaries</w:t>
            </w:r>
          </w:p>
        </w:tc>
        <w:tc>
          <w:tcPr>
            <w:tcW w:w="1020" w:type="dxa"/>
            <w:vAlign w:val="bottom"/>
            <w:tcBorders>
              <w:top w:val="single" w:sz="8" w:color="0000EE"/>
            </w:tcBorders>
            <w:gridSpan w:val="4"/>
          </w:tcPr>
          <w:p>
            <w:pPr>
              <w:spacing w:after="0"/>
              <w:rPr>
                <w:sz w:val="24"/>
                <w:szCs w:val="24"/>
                <w:color w:val="auto"/>
              </w:rPr>
            </w:pPr>
          </w:p>
        </w:tc>
        <w:tc>
          <w:tcPr>
            <w:tcW w:w="5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62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Ferrellgas Partners Finance Corp.</w:t>
            </w:r>
          </w:p>
        </w:tc>
        <w:tc>
          <w:tcPr>
            <w:tcW w:w="4980" w:type="dxa"/>
            <w:vAlign w:val="bottom"/>
            <w:gridSpan w:val="18"/>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Balance Sheets – April 30, 2026 and July 31, 2025</w:t>
            </w:r>
          </w:p>
        </w:tc>
        <w:tc>
          <w:tcPr>
            <w:tcW w:w="312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Operations – Three and nine months ended April 30, 2026 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 Nine months ended April 30, 2026 and 2025</w:t>
            </w:r>
          </w:p>
        </w:tc>
        <w:tc>
          <w:tcPr>
            <w:tcW w:w="8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Financial Statements</w:t>
            </w:r>
          </w:p>
        </w:tc>
        <w:tc>
          <w:tcPr>
            <w:tcW w:w="3080" w:type="dxa"/>
            <w:vAlign w:val="bottom"/>
            <w:tcBorders>
              <w:top w:val="single" w:sz="8" w:color="0000EE"/>
            </w:tcBorders>
            <w:gridSpan w:val="9"/>
          </w:tcPr>
          <w:p>
            <w:pPr>
              <w:spacing w:after="0"/>
              <w:rPr>
                <w:sz w:val="17"/>
                <w:szCs w:val="17"/>
                <w:color w:val="auto"/>
              </w:rPr>
            </w:pPr>
          </w:p>
        </w:tc>
        <w:tc>
          <w:tcPr>
            <w:tcW w:w="15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44"/>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Ferrellgas Finance Corp.</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Balance Sheets – April 30, 2026 and July 31, 2025</w:t>
            </w:r>
          </w:p>
        </w:tc>
        <w:tc>
          <w:tcPr>
            <w:tcW w:w="312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Operations – Three and nine months ended April 30, 2026 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 Nine months ended April 30, 2026 and 2025</w:t>
            </w:r>
          </w:p>
        </w:tc>
        <w:tc>
          <w:tcPr>
            <w:tcW w:w="8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Financial Statements</w:t>
            </w:r>
          </w:p>
        </w:tc>
        <w:tc>
          <w:tcPr>
            <w:tcW w:w="3080" w:type="dxa"/>
            <w:vAlign w:val="bottom"/>
            <w:tcBorders>
              <w:top w:val="single" w:sz="8" w:color="0000EE"/>
            </w:tcBorders>
            <w:gridSpan w:val="9"/>
          </w:tcPr>
          <w:p>
            <w:pPr>
              <w:spacing w:after="0"/>
              <w:rPr>
                <w:sz w:val="17"/>
                <w:szCs w:val="17"/>
                <w:color w:val="auto"/>
              </w:rPr>
            </w:pPr>
          </w:p>
        </w:tc>
        <w:tc>
          <w:tcPr>
            <w:tcW w:w="15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45"/>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ITEM 2.</w:t>
            </w:r>
          </w:p>
        </w:tc>
        <w:tc>
          <w:tcPr>
            <w:tcW w:w="280" w:type="dxa"/>
            <w:vAlign w:val="bottom"/>
            <w:gridSpan w:val="2"/>
          </w:tcPr>
          <w:p>
            <w:pPr>
              <w:spacing w:after="0"/>
              <w:rPr>
                <w:sz w:val="24"/>
                <w:szCs w:val="24"/>
                <w:color w:val="auto"/>
              </w:rPr>
            </w:pPr>
          </w:p>
        </w:tc>
        <w:tc>
          <w:tcPr>
            <w:tcW w:w="75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OF OPERATIONS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280" w:type="dxa"/>
            <w:vAlign w:val="bottom"/>
            <w:gridSpan w:val="2"/>
          </w:tcPr>
          <w:p>
            <w:pPr>
              <w:spacing w:after="0"/>
              <w:rPr>
                <w:sz w:val="17"/>
                <w:szCs w:val="17"/>
                <w:color w:val="auto"/>
              </w:rPr>
            </w:pPr>
          </w:p>
        </w:tc>
        <w:tc>
          <w:tcPr>
            <w:tcW w:w="61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4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280" w:type="dxa"/>
            <w:vAlign w:val="bottom"/>
            <w:gridSpan w:val="2"/>
          </w:tcPr>
          <w:p>
            <w:pPr>
              <w:spacing w:after="0"/>
              <w:rPr>
                <w:sz w:val="17"/>
                <w:szCs w:val="17"/>
                <w:color w:val="auto"/>
              </w:rPr>
            </w:pPr>
          </w:p>
        </w:tc>
        <w:tc>
          <w:tcPr>
            <w:tcW w:w="26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0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44"/>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294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w:t>
            </w:r>
          </w:p>
        </w:tc>
        <w:tc>
          <w:tcPr>
            <w:tcW w:w="280" w:type="dxa"/>
            <w:vAlign w:val="bottom"/>
            <w:gridSpan w:val="2"/>
          </w:tcPr>
          <w:p>
            <w:pPr>
              <w:spacing w:after="0"/>
              <w:rPr>
                <w:sz w:val="17"/>
                <w:szCs w:val="17"/>
                <w:color w:val="auto"/>
              </w:rPr>
            </w:pPr>
          </w:p>
        </w:tc>
        <w:tc>
          <w:tcPr>
            <w:tcW w:w="1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574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280" w:type="dxa"/>
            <w:vAlign w:val="bottom"/>
            <w:gridSpan w:val="2"/>
          </w:tcPr>
          <w:p>
            <w:pPr>
              <w:spacing w:after="0"/>
              <w:rPr>
                <w:sz w:val="17"/>
                <w:szCs w:val="17"/>
                <w:color w:val="auto"/>
              </w:rPr>
            </w:pPr>
          </w:p>
        </w:tc>
        <w:tc>
          <w:tcPr>
            <w:tcW w:w="60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5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280" w:type="dxa"/>
            <w:vAlign w:val="bottom"/>
            <w:gridSpan w:val="2"/>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20" w:type="dxa"/>
            <w:vAlign w:val="bottom"/>
            <w:tcBorders>
              <w:top w:val="single" w:sz="8" w:color="0000EE"/>
            </w:tcBorders>
            <w:gridSpan w:val="4"/>
          </w:tcPr>
          <w:p>
            <w:pPr>
              <w:spacing w:after="0"/>
              <w:rPr>
                <w:sz w:val="17"/>
                <w:szCs w:val="17"/>
                <w:color w:val="auto"/>
              </w:rPr>
            </w:pPr>
          </w:p>
        </w:tc>
        <w:tc>
          <w:tcPr>
            <w:tcW w:w="44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5.</w:t>
            </w:r>
          </w:p>
        </w:tc>
        <w:tc>
          <w:tcPr>
            <w:tcW w:w="280" w:type="dxa"/>
            <w:vAlign w:val="bottom"/>
            <w:gridSpan w:val="2"/>
          </w:tcPr>
          <w:p>
            <w:pPr>
              <w:spacing w:after="0"/>
              <w:rPr>
                <w:sz w:val="17"/>
                <w:szCs w:val="17"/>
                <w:color w:val="auto"/>
              </w:rPr>
            </w:pPr>
          </w:p>
        </w:tc>
        <w:tc>
          <w:tcPr>
            <w:tcW w:w="19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570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280" w:type="dxa"/>
            <w:vAlign w:val="bottom"/>
            <w:gridSpan w:val="2"/>
          </w:tcPr>
          <w:p>
            <w:pPr>
              <w:spacing w:after="0"/>
              <w:rPr>
                <w:sz w:val="17"/>
                <w:szCs w:val="17"/>
                <w:color w:val="auto"/>
              </w:rPr>
            </w:pPr>
          </w:p>
        </w:tc>
        <w:tc>
          <w:tcPr>
            <w:tcW w:w="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EXHIBITS</w:t>
            </w:r>
          </w:p>
        </w:tc>
        <w:tc>
          <w:tcPr>
            <w:tcW w:w="680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6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ind w:left="6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73,409</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$5,595 and $4,330 at April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30, 2026 and July 31, 2025,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371,105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607,135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Goodwill,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 of accumulated amortization of $372,283 and $366,817 at April 30, 2026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July 31, 2025,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94,136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1,467,850</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1,416,716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MEZZANINE EQUITY AND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43,043</w:t>
            </w:r>
          </w:p>
        </w:tc>
        <w:tc>
          <w:tcPr>
            <w:tcW w:w="40" w:type="dxa"/>
            <w:vAlign w:val="bottom"/>
          </w:tcPr>
          <w:p>
            <w:pPr>
              <w:spacing w:after="0"/>
              <w:rPr>
                <w:sz w:val="18"/>
                <w:szCs w:val="18"/>
                <w:color w:val="auto"/>
              </w:rPr>
            </w:pPr>
          </w:p>
        </w:tc>
        <w:tc>
          <w:tcPr>
            <w:tcW w:w="28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Short-term borrowings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204,277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351,748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1,455,132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Contingencies and commitments (Note 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units, net of issue discount and offering costs (700,000 units outstanding at April</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 2026 and July 31, 2025)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Limited partner unitholders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A (11,357,605 units outstanding at April 30, 2026 and 4,857,605 units outstanding at July</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31, 2025)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B (1,300,000 units outstanding at July 31, 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partner unitholder (49,496 units outstanding at April 30, 2026 and July 31, 2025)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Ferrellgas Partners, L.P. deficit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(1,060,236)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deficit</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(1,068,026)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(1,029,128)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deficit</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1,467,850</w:t>
            </w: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1,416,716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1520" w:right="1740"/>
        <w:spacing w:after="0" w:line="265" w:lineRule="auto"/>
        <w:rPr>
          <w:sz w:val="20"/>
          <w:szCs w:val="20"/>
          <w:color w:val="auto"/>
        </w:rPr>
      </w:pPr>
      <w:r>
        <w:rPr>
          <w:rFonts w:ascii="Times New Roman" w:cs="Times New Roman" w:eastAsia="Times New Roman" w:hAnsi="Times New Roman"/>
          <w:sz w:val="18"/>
          <w:szCs w:val="18"/>
          <w:b w:val="1"/>
          <w:bCs w:val="1"/>
          <w:color w:val="auto"/>
        </w:rPr>
        <w:t>FERRELLGAS PARTNERS, L.P. AND SUBSIDIARIES CONDENSED CONSOLIDATED STATEMENTS OF OPERATIONS (in thousands, except per unit data) (unaudited)</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auto"/>
            </w:tcBorders>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Propane and other gas liquids sales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505,510</w:t>
            </w:r>
          </w:p>
        </w:tc>
        <w:tc>
          <w:tcPr>
            <w:tcW w:w="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533,546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1,436,547</w:t>
            </w:r>
          </w:p>
        </w:tc>
        <w:tc>
          <w:tcPr>
            <w:tcW w:w="4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1,507,371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84,615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1,521,162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1,594,708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 - propane and other gas liquids sales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230,284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673,580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 - other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Operating expense - personnel, vehicle, plant and other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508,519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expense - equipment lease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General and administrative expense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employee stock ownership plan compensation charge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Loss on asset sales and disposals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87,290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198,105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(32,360)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(92,203)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104,643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noncontrolling interest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attributable to Ferrellgas Partners, L.P.</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28,039</w:t>
            </w:r>
          </w:p>
        </w:tc>
        <w:tc>
          <w:tcPr>
            <w:tcW w:w="4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103,300</w:t>
            </w:r>
          </w:p>
        </w:tc>
        <w:tc>
          <w:tcPr>
            <w:tcW w:w="4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 A unitholders’ interest in net (loss) earnings (Note M)</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(94,867)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(52,642)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net (loss) earnings per Class A Unit (Note M)</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380" w:right="79" w:hanging="330"/>
        <w:spacing w:after="0" w:line="281"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$76.8 million and $75.1 million for the three months ended April 30, 2026 and 2025, respectively, and $233.5 million and $237.7 million for the nine months ended April 30, 2026 and 2025, respectively, of compensation and benefits expense paid to employees of the general partner.</w:t>
      </w:r>
    </w:p>
    <w:p>
      <w:pPr>
        <w:spacing w:after="0" w:line="15" w:lineRule="exact"/>
        <w:rPr>
          <w:rFonts w:ascii="Times New Roman" w:cs="Times New Roman" w:eastAsia="Times New Roman" w:hAnsi="Times New Roman"/>
          <w:sz w:val="16"/>
          <w:szCs w:val="16"/>
          <w:color w:val="auto"/>
        </w:rPr>
      </w:pPr>
    </w:p>
    <w:p>
      <w:pPr>
        <w:jc w:val="both"/>
        <w:ind w:left="380" w:right="79" w:hanging="330"/>
        <w:spacing w:after="0" w:line="281"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$11.0 million and $11.6 million for the three months ended April 30, 2026 and 2025, respectively, and $34.0 million and $35.1 million for the nine months ended April 30, 2026 and 2025, respectively, of compensation and benefits expense paid to employees of the general partner.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88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3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derivatives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 of losses (gains) on derivatives to earnings,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(7,677)</w:t>
            </w: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CEEFF"/>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Ferrellgas Partners, L.P.</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6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9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Number of units</w:t>
            </w:r>
          </w:p>
        </w:tc>
        <w:tc>
          <w:tcPr>
            <w:tcW w:w="5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Accumulated</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Ferrellgas</w:t>
            </w:r>
          </w:p>
        </w:tc>
        <w:tc>
          <w:tcPr>
            <w:tcW w:w="2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General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General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Partners, L.P.</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b w:val="1"/>
                <w:bCs w:val="1"/>
                <w:color w:val="auto"/>
              </w:rPr>
              <w:t>Class A</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42"/>
              <w:spacing w:after="0" w:line="135" w:lineRule="exact"/>
              <w:rPr>
                <w:sz w:val="20"/>
                <w:szCs w:val="20"/>
                <w:color w:val="auto"/>
              </w:rPr>
            </w:pPr>
            <w:r>
              <w:rPr>
                <w:rFonts w:ascii="Times New Roman" w:cs="Times New Roman" w:eastAsia="Times New Roman" w:hAnsi="Times New Roman"/>
                <w:sz w:val="12"/>
                <w:szCs w:val="12"/>
                <w:b w:val="1"/>
                <w:bCs w:val="1"/>
                <w:color w:val="auto"/>
              </w:rPr>
              <w:t>Class B</w:t>
            </w:r>
          </w:p>
        </w:tc>
        <w:tc>
          <w:tcPr>
            <w:tcW w:w="5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b w:val="1"/>
                <w:bCs w:val="1"/>
                <w:color w:val="auto"/>
              </w:rPr>
              <w:t>partner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Class 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partner</w:t>
            </w:r>
          </w:p>
        </w:tc>
        <w:tc>
          <w:tcPr>
            <w:tcW w:w="8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partners’</w:t>
            </w:r>
          </w:p>
        </w:tc>
        <w:tc>
          <w:tcPr>
            <w:tcW w:w="100" w:type="dxa"/>
            <w:vAlign w:val="bottom"/>
          </w:tcPr>
          <w:p>
            <w:pPr>
              <w:spacing w:after="0"/>
              <w:rPr>
                <w:sz w:val="11"/>
                <w:szCs w:val="11"/>
                <w:color w:val="auto"/>
              </w:rPr>
            </w:pPr>
          </w:p>
        </w:tc>
        <w:tc>
          <w:tcPr>
            <w:tcW w:w="84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0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partners’</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206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unitholders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unitholders unitholder</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unitholders</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unitholders</w:t>
            </w:r>
          </w:p>
        </w:tc>
        <w:tc>
          <w:tcPr>
            <w:tcW w:w="8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unitholder</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(loss) income</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interest</w:t>
            </w:r>
          </w:p>
        </w:tc>
        <w:tc>
          <w:tcPr>
            <w:tcW w:w="26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05"/>
        </w:trPr>
        <w:tc>
          <w:tcPr>
            <w:tcW w:w="900" w:type="dxa"/>
            <w:vAlign w:val="bottom"/>
            <w:tcBorders>
              <w:top w:val="single" w:sz="8" w:color="CCEEFF"/>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July 31, 2025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(1,332,704)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(70,845)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(1,020,632)</w:t>
            </w:r>
          </w:p>
        </w:tc>
        <w:tc>
          <w:tcPr>
            <w:tcW w:w="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(8,496)</w:t>
            </w:r>
          </w:p>
        </w:tc>
        <w:tc>
          <w:tcPr>
            <w:tcW w:w="2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(1,029,128)</w:t>
            </w:r>
          </w:p>
        </w:tc>
        <w:tc>
          <w:tcPr>
            <w:tcW w:w="0" w:type="dxa"/>
            <w:vAlign w:val="bottom"/>
          </w:tcPr>
          <w:p>
            <w:pPr>
              <w:spacing w:after="0"/>
              <w:rPr>
                <w:sz w:val="1"/>
                <w:szCs w:val="1"/>
                <w:color w:val="auto"/>
              </w:rPr>
            </w:pPr>
          </w:p>
        </w:tc>
      </w:tr>
      <w:tr>
        <w:trPr>
          <w:trHeight w:val="127"/>
        </w:trPr>
        <w:tc>
          <w:tcPr>
            <w:tcW w:w="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Contributions in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connection with</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non-cash ESOP</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charges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w:t>
            </w:r>
          </w:p>
        </w:tc>
        <w:tc>
          <w:tcPr>
            <w:tcW w:w="0" w:type="dxa"/>
            <w:vAlign w:val="bottom"/>
          </w:tcPr>
          <w:p>
            <w:pPr>
              <w:spacing w:after="0"/>
              <w:rPr>
                <w:sz w:val="1"/>
                <w:szCs w:val="1"/>
                <w:color w:val="auto"/>
              </w:rPr>
            </w:pPr>
          </w:p>
        </w:tc>
      </w:tr>
      <w:tr>
        <w:trPr>
          <w:trHeight w:val="127"/>
        </w:trPr>
        <w:tc>
          <w:tcPr>
            <w:tcW w:w="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allocated to</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units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(16,316)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(16,481)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(16,481)</w:t>
            </w: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(26,658)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(269)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(26,927)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(27,364)</w:t>
            </w:r>
          </w:p>
        </w:tc>
        <w:tc>
          <w:tcPr>
            <w:tcW w:w="0" w:type="dxa"/>
            <w:vAlign w:val="bottom"/>
          </w:tcPr>
          <w:p>
            <w:pPr>
              <w:spacing w:after="0"/>
              <w:rPr>
                <w:sz w:val="1"/>
                <w:szCs w:val="1"/>
                <w:color w:val="auto"/>
              </w:rPr>
            </w:pPr>
          </w:p>
        </w:tc>
      </w:tr>
      <w:tr>
        <w:trPr>
          <w:trHeight w:val="127"/>
        </w:trPr>
        <w:tc>
          <w:tcPr>
            <w:tcW w:w="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comprehensive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(9,978)</w:t>
            </w:r>
          </w:p>
        </w:tc>
        <w:tc>
          <w:tcPr>
            <w:tcW w:w="0" w:type="dxa"/>
            <w:vAlign w:val="bottom"/>
          </w:tcPr>
          <w:p>
            <w:pPr>
              <w:spacing w:after="0"/>
              <w:rPr>
                <w:sz w:val="1"/>
                <w:szCs w:val="1"/>
                <w:color w:val="auto"/>
              </w:rPr>
            </w:pPr>
          </w:p>
        </w:tc>
      </w:tr>
      <w:tr>
        <w:trPr>
          <w:trHeight w:val="105"/>
        </w:trPr>
        <w:tc>
          <w:tcPr>
            <w:tcW w:w="90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October 31, 2025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6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color w:val="auto"/>
              </w:rPr>
              <w:t>1,300.0</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(1,374,780)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(71,270)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(9,972)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(1,073,010)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(1,082,035)</w:t>
            </w:r>
          </w:p>
        </w:tc>
        <w:tc>
          <w:tcPr>
            <w:tcW w:w="0" w:type="dxa"/>
            <w:vAlign w:val="bottom"/>
          </w:tcPr>
          <w:p>
            <w:pPr>
              <w:spacing w:after="0"/>
              <w:rPr>
                <w:sz w:val="1"/>
                <w:szCs w:val="1"/>
                <w:color w:val="auto"/>
              </w:rPr>
            </w:pPr>
          </w:p>
        </w:tc>
      </w:tr>
      <w:tr>
        <w:trPr>
          <w:trHeight w:val="107"/>
        </w:trPr>
        <w:tc>
          <w:tcPr>
            <w:tcW w:w="900" w:type="dxa"/>
            <w:vAlign w:val="bottom"/>
            <w:tcBorders>
              <w:top w:val="single" w:sz="8" w:color="CCEEFF"/>
            </w:tcBorders>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Contributions in</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connection with</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non-cash ESOP</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compensation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charges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0" w:type="dxa"/>
            <w:vAlign w:val="bottom"/>
          </w:tcPr>
          <w:p>
            <w:pPr>
              <w:spacing w:after="0"/>
              <w:rPr>
                <w:sz w:val="1"/>
                <w:szCs w:val="1"/>
                <w:color w:val="auto"/>
              </w:rPr>
            </w:pPr>
          </w:p>
        </w:tc>
      </w:tr>
      <w:tr>
        <w:trPr>
          <w:trHeight w:val="127"/>
        </w:trPr>
        <w:tc>
          <w:tcPr>
            <w:tcW w:w="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allocated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units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(15,644)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(15,802)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(15,802)</w:t>
            </w: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101,166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102,188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886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103,074</w:t>
            </w:r>
          </w:p>
        </w:tc>
        <w:tc>
          <w:tcPr>
            <w:tcW w:w="0" w:type="dxa"/>
            <w:vAlign w:val="bottom"/>
          </w:tcPr>
          <w:p>
            <w:pPr>
              <w:spacing w:after="0"/>
              <w:rPr>
                <w:sz w:val="1"/>
                <w:szCs w:val="1"/>
                <w:color w:val="auto"/>
              </w:rPr>
            </w:pPr>
          </w:p>
        </w:tc>
      </w:tr>
      <w:tr>
        <w:trPr>
          <w:trHeight w:val="127"/>
        </w:trPr>
        <w:tc>
          <w:tcPr>
            <w:tcW w:w="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comprehensive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3,449</w:t>
            </w:r>
          </w:p>
        </w:tc>
        <w:tc>
          <w:tcPr>
            <w:tcW w:w="0" w:type="dxa"/>
            <w:vAlign w:val="bottom"/>
          </w:tcPr>
          <w:p>
            <w:pPr>
              <w:spacing w:after="0"/>
              <w:rPr>
                <w:sz w:val="1"/>
                <w:szCs w:val="1"/>
                <w:color w:val="auto"/>
              </w:rPr>
            </w:pPr>
          </w:p>
        </w:tc>
      </w:tr>
      <w:tr>
        <w:trPr>
          <w:trHeight w:val="105"/>
        </w:trPr>
        <w:tc>
          <w:tcPr>
            <w:tcW w:w="900" w:type="dxa"/>
            <w:vAlign w:val="bottom"/>
            <w:tcBorders>
              <w:top w:val="single" w:sz="8" w:color="CCEEFF"/>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January 31, 2026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(1,288,325)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(70,397)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(982,268)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(990,362)</w:t>
            </w:r>
          </w:p>
        </w:tc>
        <w:tc>
          <w:tcPr>
            <w:tcW w:w="0" w:type="dxa"/>
            <w:vAlign w:val="bottom"/>
          </w:tcPr>
          <w:p>
            <w:pPr>
              <w:spacing w:after="0"/>
              <w:rPr>
                <w:sz w:val="1"/>
                <w:szCs w:val="1"/>
                <w:color w:val="auto"/>
              </w:rPr>
            </w:pPr>
          </w:p>
        </w:tc>
      </w:tr>
      <w:tr>
        <w:trPr>
          <w:trHeight w:val="107"/>
        </w:trPr>
        <w:tc>
          <w:tcPr>
            <w:tcW w:w="90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Contributions in</w:t>
            </w: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connection with</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non-cash ESOP</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charges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w:t>
            </w:r>
          </w:p>
        </w:tc>
        <w:tc>
          <w:tcPr>
            <w:tcW w:w="0" w:type="dxa"/>
            <w:vAlign w:val="bottom"/>
          </w:tcPr>
          <w:p>
            <w:pPr>
              <w:spacing w:after="0"/>
              <w:rPr>
                <w:sz w:val="1"/>
                <w:szCs w:val="1"/>
                <w:color w:val="auto"/>
              </w:rPr>
            </w:pPr>
          </w:p>
        </w:tc>
      </w:tr>
      <w:tr>
        <w:trPr>
          <w:trHeight w:val="127"/>
        </w:trPr>
        <w:tc>
          <w:tcPr>
            <w:tcW w:w="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allocated to</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units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(15,204)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(15,357)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(15,357)</w:t>
            </w:r>
          </w:p>
        </w:tc>
        <w:tc>
          <w:tcPr>
            <w:tcW w:w="0" w:type="dxa"/>
            <w:vAlign w:val="bottom"/>
          </w:tcPr>
          <w:p>
            <w:pPr>
              <w:spacing w:after="0"/>
              <w:rPr>
                <w:sz w:val="1"/>
                <w:szCs w:val="1"/>
                <w:color w:val="auto"/>
              </w:rPr>
            </w:pPr>
          </w:p>
        </w:tc>
      </w:tr>
      <w:tr>
        <w:trPr>
          <w:trHeight w:val="127"/>
        </w:trPr>
        <w:tc>
          <w:tcPr>
            <w:tcW w:w="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allocated to Class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 Units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(107,016)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Distribution to</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Class B</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unitholders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(107,016)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(107,016)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(107,016)</w:t>
            </w:r>
          </w:p>
        </w:tc>
        <w:tc>
          <w:tcPr>
            <w:tcW w:w="0" w:type="dxa"/>
            <w:vAlign w:val="bottom"/>
          </w:tcPr>
          <w:p>
            <w:pPr>
              <w:spacing w:after="0"/>
              <w:rPr>
                <w:sz w:val="1"/>
                <w:szCs w:val="1"/>
                <w:color w:val="auto"/>
              </w:rPr>
            </w:pPr>
          </w:p>
        </w:tc>
      </w:tr>
      <w:tr>
        <w:trPr>
          <w:trHeight w:val="127"/>
        </w:trPr>
        <w:tc>
          <w:tcPr>
            <w:tcW w:w="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B Units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6,500.0</w:t>
            </w:r>
          </w:p>
        </w:tc>
        <w:tc>
          <w:tcPr>
            <w:tcW w:w="860" w:type="dxa"/>
            <w:vAlign w:val="bottom"/>
            <w:gridSpan w:val="3"/>
          </w:tcPr>
          <w:p>
            <w:pPr>
              <w:jc w:val="right"/>
              <w:ind w:right="22"/>
              <w:spacing w:after="0"/>
              <w:rPr>
                <w:sz w:val="20"/>
                <w:szCs w:val="20"/>
                <w:color w:val="auto"/>
              </w:rPr>
            </w:pPr>
            <w:r>
              <w:rPr>
                <w:rFonts w:ascii="Times New Roman" w:cs="Times New Roman" w:eastAsia="Times New Roman" w:hAnsi="Times New Roman"/>
                <w:sz w:val="12"/>
                <w:szCs w:val="12"/>
                <w:color w:val="auto"/>
              </w:rPr>
              <w:t>(1,300.0)</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(383,012)</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28,039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28,177</w:t>
            </w:r>
          </w:p>
        </w:tc>
        <w:tc>
          <w:tcPr>
            <w:tcW w:w="0" w:type="dxa"/>
            <w:vAlign w:val="bottom"/>
          </w:tcPr>
          <w:p>
            <w:pPr>
              <w:spacing w:after="0"/>
              <w:rPr>
                <w:sz w:val="1"/>
                <w:szCs w:val="1"/>
                <w:color w:val="auto"/>
              </w:rPr>
            </w:pPr>
          </w:p>
        </w:tc>
      </w:tr>
      <w:tr>
        <w:trPr>
          <w:trHeight w:val="127"/>
        </w:trPr>
        <w:tc>
          <w:tcPr>
            <w:tcW w:w="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comprehensive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income</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15,335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15,335</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15,491</w:t>
            </w:r>
          </w:p>
        </w:tc>
        <w:tc>
          <w:tcPr>
            <w:tcW w:w="0" w:type="dxa"/>
            <w:vAlign w:val="bottom"/>
          </w:tcPr>
          <w:p>
            <w:pPr>
              <w:spacing w:after="0"/>
              <w:rPr>
                <w:sz w:val="1"/>
                <w:szCs w:val="1"/>
                <w:color w:val="auto"/>
              </w:rPr>
            </w:pPr>
          </w:p>
        </w:tc>
      </w:tr>
      <w:tr>
        <w:trPr>
          <w:trHeight w:val="105"/>
        </w:trPr>
        <w:tc>
          <w:tcPr>
            <w:tcW w:w="90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11,357.6</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(999,007)</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(70,006)</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(1,060,236)</w:t>
            </w:r>
          </w:p>
        </w:tc>
        <w:tc>
          <w:tcPr>
            <w:tcW w:w="240" w:type="dxa"/>
            <w:vAlign w:val="bottom"/>
            <w:gridSpan w:val="2"/>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(7,790)</w:t>
            </w:r>
          </w:p>
        </w:tc>
        <w:tc>
          <w:tcPr>
            <w:tcW w:w="26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(1,068,026)</w:t>
            </w:r>
          </w:p>
        </w:tc>
        <w:tc>
          <w:tcPr>
            <w:tcW w:w="0" w:type="dxa"/>
            <w:vAlign w:val="bottom"/>
          </w:tcPr>
          <w:p>
            <w:pPr>
              <w:spacing w:after="0"/>
              <w:rPr>
                <w:sz w:val="1"/>
                <w:szCs w:val="1"/>
                <w:color w:val="auto"/>
              </w:rPr>
            </w:pPr>
          </w:p>
        </w:tc>
      </w:tr>
      <w:tr>
        <w:trPr>
          <w:trHeight w:val="132"/>
        </w:trPr>
        <w:tc>
          <w:tcPr>
            <w:tcW w:w="9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April 30, 2026</w:t>
            </w:r>
          </w:p>
        </w:tc>
        <w:tc>
          <w:tcPr>
            <w:tcW w:w="6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7" w:lineRule="exact"/>
        <w:rPr>
          <w:sz w:val="20"/>
          <w:szCs w:val="20"/>
          <w:color w:val="auto"/>
        </w:rPr>
      </w:pPr>
    </w:p>
    <w:tbl>
      <w:tblPr>
        <w:tblLayout w:type="fixed"/>
        <w:tblInd w:w="980" w:type="dxa"/>
        <w:tblCellMar>
          <w:top w:w="0" w:type="dxa"/>
          <w:left w:w="0" w:type="dxa"/>
          <w:bottom w:w="0" w:type="dxa"/>
          <w:right w:w="0" w:type="dxa"/>
        </w:tblCellMar>
      </w:tblPr>
      <w:tr>
        <w:trPr>
          <w:trHeight w:val="14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tcPr>
          <w:p>
            <w:pPr>
              <w:jc w:val="center"/>
              <w:ind w:right="522"/>
              <w:spacing w:after="0"/>
              <w:rPr>
                <w:sz w:val="20"/>
                <w:szCs w:val="20"/>
                <w:color w:val="auto"/>
              </w:rPr>
            </w:pPr>
            <w:r>
              <w:rPr>
                <w:rFonts w:ascii="Times New Roman" w:cs="Times New Roman" w:eastAsia="Times New Roman" w:hAnsi="Times New Roman"/>
                <w:sz w:val="12"/>
                <w:szCs w:val="12"/>
                <w:b w:val="1"/>
                <w:bCs w:val="1"/>
                <w:color w:val="auto"/>
                <w:w w:val="97"/>
              </w:rPr>
              <w:t>Number of units</w:t>
            </w:r>
          </w:p>
        </w:tc>
        <w:tc>
          <w:tcPr>
            <w:tcW w:w="8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spacing w:after="0"/>
              <w:rPr>
                <w:sz w:val="12"/>
                <w:szCs w:val="12"/>
                <w:color w:val="auto"/>
              </w:rPr>
            </w:pPr>
          </w:p>
        </w:tc>
        <w:tc>
          <w:tcPr>
            <w:tcW w:w="88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 Ferrellgas</w:t>
            </w:r>
          </w:p>
        </w:tc>
        <w:tc>
          <w:tcPr>
            <w:tcW w:w="100" w:type="dxa"/>
            <w:vAlign w:val="bottom"/>
          </w:tcPr>
          <w:p>
            <w:pPr>
              <w:spacing w:after="0"/>
              <w:rPr>
                <w:sz w:val="12"/>
                <w:szCs w:val="12"/>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18"/>
        </w:trPr>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200"/>
              <w:spacing w:after="0" w:line="118" w:lineRule="exact"/>
              <w:rPr>
                <w:sz w:val="20"/>
                <w:szCs w:val="20"/>
                <w:color w:val="auto"/>
              </w:rPr>
            </w:pPr>
            <w:r>
              <w:rPr>
                <w:rFonts w:ascii="Times New Roman" w:cs="Times New Roman" w:eastAsia="Times New Roman" w:hAnsi="Times New Roman"/>
                <w:sz w:val="12"/>
                <w:szCs w:val="12"/>
                <w:b w:val="1"/>
                <w:bCs w:val="1"/>
                <w:color w:val="auto"/>
              </w:rPr>
              <w:t>General</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ind w:left="240"/>
              <w:spacing w:after="0" w:line="118" w:lineRule="exact"/>
              <w:rPr>
                <w:sz w:val="20"/>
                <w:szCs w:val="20"/>
                <w:color w:val="auto"/>
              </w:rPr>
            </w:pPr>
            <w:r>
              <w:rPr>
                <w:rFonts w:ascii="Times New Roman" w:cs="Times New Roman" w:eastAsia="Times New Roman" w:hAnsi="Times New Roman"/>
                <w:sz w:val="12"/>
                <w:szCs w:val="12"/>
                <w:b w:val="1"/>
                <w:bCs w:val="1"/>
                <w:color w:val="auto"/>
              </w:rPr>
              <w:t>General</w:t>
            </w:r>
          </w:p>
        </w:tc>
        <w:tc>
          <w:tcPr>
            <w:tcW w:w="880" w:type="dxa"/>
            <w:vAlign w:val="bottom"/>
          </w:tcPr>
          <w:p>
            <w:pPr>
              <w:jc w:val="center"/>
              <w:ind w:left="2"/>
              <w:spacing w:after="0" w:line="118"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0"/>
                <w:szCs w:val="10"/>
                <w:color w:val="auto"/>
              </w:rPr>
            </w:pPr>
          </w:p>
        </w:tc>
        <w:tc>
          <w:tcPr>
            <w:tcW w:w="800" w:type="dxa"/>
            <w:vAlign w:val="bottom"/>
          </w:tcPr>
          <w:p>
            <w:pPr>
              <w:jc w:val="center"/>
              <w:ind w:right="2"/>
              <w:spacing w:after="0" w:line="118" w:lineRule="exact"/>
              <w:rPr>
                <w:sz w:val="20"/>
                <w:szCs w:val="20"/>
                <w:color w:val="auto"/>
              </w:rPr>
            </w:pPr>
            <w:r>
              <w:rPr>
                <w:rFonts w:ascii="Times New Roman" w:cs="Times New Roman" w:eastAsia="Times New Roman" w:hAnsi="Times New Roman"/>
                <w:sz w:val="12"/>
                <w:szCs w:val="12"/>
                <w:b w:val="1"/>
                <w:bCs w:val="1"/>
                <w:color w:val="auto"/>
                <w:w w:val="97"/>
              </w:rPr>
              <w:t>Partners, L.P.</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60" w:type="dxa"/>
            <w:vAlign w:val="bottom"/>
          </w:tcPr>
          <w:p>
            <w:pPr>
              <w:spacing w:after="0"/>
              <w:rPr>
                <w:sz w:val="11"/>
                <w:szCs w:val="11"/>
                <w:color w:val="auto"/>
              </w:rPr>
            </w:pPr>
          </w:p>
        </w:tc>
        <w:tc>
          <w:tcPr>
            <w:tcW w:w="60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4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b w:val="1"/>
                <w:bCs w:val="1"/>
                <w:color w:val="auto"/>
                <w:w w:val="93"/>
              </w:rPr>
              <w:t>Class B</w:t>
            </w:r>
          </w:p>
        </w:tc>
        <w:tc>
          <w:tcPr>
            <w:tcW w:w="700" w:type="dxa"/>
            <w:vAlign w:val="bottom"/>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partner</w:t>
            </w:r>
          </w:p>
        </w:tc>
        <w:tc>
          <w:tcPr>
            <w:tcW w:w="800" w:type="dxa"/>
            <w:vAlign w:val="bottom"/>
          </w:tcPr>
          <w:p>
            <w:pPr>
              <w:ind w:left="260"/>
              <w:spacing w:after="0" w:line="135"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6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b w:val="1"/>
                <w:bCs w:val="1"/>
                <w:color w:val="auto"/>
              </w:rPr>
              <w:t>Class B</w:t>
            </w:r>
          </w:p>
        </w:tc>
        <w:tc>
          <w:tcPr>
            <w:tcW w:w="7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b w:val="1"/>
                <w:bCs w:val="1"/>
                <w:color w:val="auto"/>
              </w:rPr>
              <w:t>partner</w:t>
            </w:r>
          </w:p>
        </w:tc>
        <w:tc>
          <w:tcPr>
            <w:tcW w:w="880" w:type="dxa"/>
            <w:vAlign w:val="bottom"/>
          </w:tcPr>
          <w:p>
            <w:pPr>
              <w:jc w:val="center"/>
              <w:ind w:left="2"/>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1"/>
                <w:szCs w:val="11"/>
                <w:color w:val="auto"/>
              </w:rPr>
            </w:pPr>
          </w:p>
        </w:tc>
        <w:tc>
          <w:tcPr>
            <w:tcW w:w="80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2"/>
                <w:szCs w:val="12"/>
                <w:b w:val="1"/>
                <w:bCs w:val="1"/>
                <w:color w:val="auto"/>
                <w:w w:val="95"/>
              </w:rPr>
              <w:t>partners’</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120" w:type="dxa"/>
            <w:vAlign w:val="bottom"/>
          </w:tcPr>
          <w:p>
            <w:pPr>
              <w:spacing w:after="0"/>
              <w:rPr>
                <w:sz w:val="11"/>
                <w:szCs w:val="11"/>
                <w:color w:val="auto"/>
              </w:rPr>
            </w:pPr>
          </w:p>
        </w:tc>
        <w:tc>
          <w:tcPr>
            <w:tcW w:w="500" w:type="dxa"/>
            <w:vAlign w:val="bottom"/>
          </w:tcPr>
          <w:p>
            <w:pPr>
              <w:jc w:val="center"/>
              <w:ind w:left="102"/>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unitholders</w:t>
            </w:r>
          </w:p>
        </w:tc>
        <w:tc>
          <w:tcPr>
            <w:tcW w:w="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unitholders</w:t>
            </w: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w:t>
            </w:r>
          </w:p>
        </w:tc>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unitholders</w:t>
            </w:r>
          </w:p>
        </w:tc>
        <w:tc>
          <w:tcPr>
            <w:tcW w:w="7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unitholders</w:t>
            </w: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unitholder</w:t>
            </w:r>
          </w:p>
        </w:tc>
        <w:tc>
          <w:tcPr>
            <w:tcW w:w="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income</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3"/>
              </w:rPr>
              <w:t>deficit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center"/>
              <w:ind w:left="122"/>
              <w:spacing w:after="0"/>
              <w:rPr>
                <w:sz w:val="20"/>
                <w:szCs w:val="20"/>
                <w:color w:val="auto"/>
              </w:rPr>
            </w:pPr>
            <w:r>
              <w:rPr>
                <w:rFonts w:ascii="Times New Roman" w:cs="Times New Roman" w:eastAsia="Times New Roman" w:hAnsi="Times New Roman"/>
                <w:sz w:val="12"/>
                <w:szCs w:val="12"/>
                <w:b w:val="1"/>
                <w:bCs w:val="1"/>
                <w:color w:val="auto"/>
                <w:w w:val="99"/>
              </w:rPr>
              <w:t>deficit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489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tbl>
      <w:tblPr>
        <w:tblLayout w:type="fixed"/>
        <w:tblInd w:w="60" w:type="dxa"/>
        <w:tblCellMar>
          <w:top w:w="0" w:type="dxa"/>
          <w:left w:w="0" w:type="dxa"/>
          <w:bottom w:w="0" w:type="dxa"/>
          <w:right w:w="0" w:type="dxa"/>
        </w:tblCellMar>
      </w:tblPr>
      <w:tr>
        <w:trPr>
          <w:trHeight w:val="105"/>
        </w:trPr>
        <w:tc>
          <w:tcPr>
            <w:tcW w:w="980" w:type="dxa"/>
            <w:vAlign w:val="bottom"/>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July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(1,256,946)</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Contributions in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connection with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non-cash ESOP</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compensation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charges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allocated 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preferred units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(16,070)</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(145,201)</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comprehensive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income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October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(1,417,381)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Contributions in</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connection with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non-cash ESOP</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compensation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charges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689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allocated 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preferred units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(16,068)</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97,854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comprehensive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income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January 31,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(1,334,906)</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Contributions in</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connection with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non-cash ESOP</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compensation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charges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allocated 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preferred units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(15,467)</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earnings</w:t>
            </w: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58,514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comprehensive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loss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4,857.6</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(1,291,074)</w:t>
            </w:r>
          </w:p>
        </w:tc>
        <w:tc>
          <w:tcPr>
            <w:tcW w:w="16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383,012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9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April 30, 2025</w:t>
            </w: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-3188335</wp:posOffset>
            </wp:positionV>
            <wp:extent cx="564896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-2845435</wp:posOffset>
            </wp:positionV>
            <wp:extent cx="564896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-1731010</wp:posOffset>
            </wp:positionV>
            <wp:extent cx="564896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-788035</wp:posOffset>
            </wp:positionV>
            <wp:extent cx="564896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-445135</wp:posOffset>
            </wp:positionV>
            <wp:extent cx="564896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-1388110</wp:posOffset>
            </wp:positionV>
            <wp:extent cx="56489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-2416810</wp:posOffset>
            </wp:positionV>
            <wp:extent cx="564896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2"/>
              </w:rPr>
              <w:t>(70,080)</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(941,989)</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(7,699)</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(949,688)</w:t>
            </w:r>
          </w:p>
        </w:tc>
      </w:tr>
      <w:tr>
        <w:trPr>
          <w:trHeight w:val="675"/>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r>
      <w:tr>
        <w:trPr>
          <w:trHeight w:val="39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(162)</w:t>
            </w:r>
          </w:p>
        </w:tc>
        <w:tc>
          <w:tcPr>
            <w:tcW w:w="24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(16,232)</w:t>
            </w:r>
          </w:p>
        </w:tc>
        <w:tc>
          <w:tcPr>
            <w:tcW w:w="2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(16,232)</w:t>
            </w:r>
          </w:p>
        </w:tc>
      </w:tr>
      <w:tr>
        <w:trPr>
          <w:trHeight w:val="15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(1,467)</w:t>
            </w: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(146,668)</w:t>
            </w:r>
          </w:p>
        </w:tc>
        <w:tc>
          <w:tcPr>
            <w:tcW w:w="2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(1,662)</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(148,330)</w:t>
            </w:r>
          </w:p>
        </w:tc>
      </w:tr>
      <w:tr>
        <w:trPr>
          <w:trHeight w:val="398"/>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4,877</w:t>
            </w:r>
          </w:p>
        </w:tc>
      </w:tr>
      <w:tr>
        <w:trPr>
          <w:trHeight w:val="25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2"/>
              </w:rPr>
              <w:t>(71,701)</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(1,099,217)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(9,303)</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(1,108,520)</w:t>
            </w:r>
          </w:p>
        </w:tc>
      </w:tr>
      <w:tr>
        <w:trPr>
          <w:trHeight w:val="662"/>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7</w:t>
            </w: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703</w:t>
            </w:r>
          </w:p>
        </w:tc>
      </w:tr>
      <w:tr>
        <w:trPr>
          <w:trHeight w:val="39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(163)</w:t>
            </w:r>
          </w:p>
        </w:tc>
        <w:tc>
          <w:tcPr>
            <w:tcW w:w="24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(16,231)</w:t>
            </w:r>
          </w:p>
        </w:tc>
        <w:tc>
          <w:tcPr>
            <w:tcW w:w="2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(16,231)</w:t>
            </w:r>
          </w:p>
        </w:tc>
      </w:tr>
      <w:tr>
        <w:trPr>
          <w:trHeight w:val="150"/>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989</w:t>
            </w: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99,686</w:t>
            </w:r>
          </w:p>
        </w:tc>
      </w:tr>
      <w:tr>
        <w:trPr>
          <w:trHeight w:val="398"/>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2,713</w:t>
            </w:r>
          </w:p>
        </w:tc>
      </w:tr>
      <w:tr>
        <w:trPr>
          <w:trHeight w:val="25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2"/>
              </w:rPr>
              <w:t>(70,868)</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(8,425)</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(1,021,649)</w:t>
            </w:r>
          </w:p>
        </w:tc>
      </w:tr>
      <w:tr>
        <w:trPr>
          <w:trHeight w:val="662"/>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w:t>
            </w:r>
          </w:p>
        </w:tc>
      </w:tr>
      <w:tr>
        <w:trPr>
          <w:trHeight w:val="390"/>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(156)</w:t>
            </w:r>
          </w:p>
        </w:tc>
        <w:tc>
          <w:tcPr>
            <w:tcW w:w="24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(15,623)</w:t>
            </w:r>
          </w:p>
        </w:tc>
        <w:tc>
          <w:tcPr>
            <w:tcW w:w="2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(15,623)</w:t>
            </w:r>
          </w:p>
        </w:tc>
      </w:tr>
      <w:tr>
        <w:trPr>
          <w:trHeight w:val="150"/>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591</w:t>
            </w: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59,549</w:t>
            </w:r>
          </w:p>
        </w:tc>
      </w:tr>
      <w:tr>
        <w:trPr>
          <w:trHeight w:val="398"/>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(8,186)</w:t>
            </w:r>
          </w:p>
        </w:tc>
      </w:tr>
      <w:tr>
        <w:trPr>
          <w:trHeight w:val="20"/>
        </w:trPr>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7"/>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2"/>
              </w:rPr>
              <w:t>(70,425)</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80" w:type="dxa"/>
            <w:vAlign w:val="bottom"/>
          </w:tcPr>
          <w:p>
            <w:pPr>
              <w:spacing w:after="0"/>
              <w:rPr>
                <w:sz w:val="20"/>
                <w:szCs w:val="20"/>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(977,052)</w:t>
            </w:r>
          </w:p>
        </w:tc>
        <w:tc>
          <w:tcPr>
            <w:tcW w:w="100" w:type="dxa"/>
            <w:vAlign w:val="bottom"/>
          </w:tcPr>
          <w:p>
            <w:pPr>
              <w:spacing w:after="0"/>
              <w:rPr>
                <w:sz w:val="20"/>
                <w:szCs w:val="20"/>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(8,055)</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(985,107)</w:t>
            </w:r>
          </w:p>
        </w:tc>
      </w:tr>
      <w:tr>
        <w:trPr>
          <w:trHeight w:val="20"/>
        </w:trPr>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-24765</wp:posOffset>
            </wp:positionV>
            <wp:extent cx="437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-7620</wp:posOffset>
            </wp:positionV>
            <wp:extent cx="437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-187960</wp:posOffset>
            </wp:positionV>
            <wp:extent cx="4375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-1216660</wp:posOffset>
            </wp:positionV>
            <wp:extent cx="437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-2588260</wp:posOffset>
            </wp:positionV>
            <wp:extent cx="437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220"/>
            <w:col w:w="3999"/>
          </w:cols>
          <w:pgMar w:left="1440" w:top="51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240" w:type="dxa"/>
            <w:vAlign w:val="bottom"/>
            <w:gridSpan w:val="2"/>
          </w:tcPr>
          <w:p>
            <w:pPr>
              <w:jc w:val="right"/>
              <w:ind w:right="96"/>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103,887</w:t>
            </w:r>
          </w:p>
        </w:tc>
        <w:tc>
          <w:tcPr>
            <w:tcW w:w="420" w:type="dxa"/>
            <w:vAlign w:val="bottom"/>
            <w:gridSpan w:val="3"/>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Reconciliation of net earnings to net cash provided by operating activities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employee stock ownership plan compensation charge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asset sales and disposals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expected credit losses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effects from business acquisitions: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(55,356)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interest expense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(25,840)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 and liabilities</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150,715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116,597</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5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Business acquisition, net of cash acquired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(70,415)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(69,832)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5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unit distributions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(48,845)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Distribution to Class B Unitholders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(107,016)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 for settlement and early extinguishment of liabilities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short-term borrowings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payments for principal portion of lease liability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paid for financing costs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(18,778)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(103,774)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(61,600)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(23,474)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96,883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 end of period</w:t>
            </w:r>
          </w:p>
        </w:tc>
        <w:tc>
          <w:tcPr>
            <w:tcW w:w="20" w:type="dxa"/>
            <w:vAlign w:val="bottom"/>
          </w:tcPr>
          <w:p>
            <w:pPr>
              <w:spacing w:after="0"/>
              <w:rPr>
                <w:sz w:val="12"/>
                <w:szCs w:val="12"/>
                <w:color w:val="auto"/>
              </w:rPr>
            </w:pPr>
          </w:p>
        </w:tc>
        <w:tc>
          <w:tcPr>
            <w:tcW w:w="220" w:type="dxa"/>
            <w:vAlign w:val="bottom"/>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73,409</w:t>
            </w:r>
          </w:p>
        </w:tc>
        <w:tc>
          <w:tcPr>
            <w:tcW w:w="220" w:type="dxa"/>
            <w:vAlign w:val="bottom"/>
            <w:gridSpan w:val="2"/>
          </w:tcPr>
          <w:p>
            <w:pPr>
              <w:spacing w:after="0"/>
              <w:rPr>
                <w:sz w:val="12"/>
                <w:szCs w:val="12"/>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ind w:left="6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 w:type="dxa"/>
            <w:vAlign w:val="bottom"/>
          </w:tcPr>
          <w:p>
            <w:pPr>
              <w:spacing w:after="0"/>
              <w:rPr>
                <w:sz w:val="15"/>
                <w:szCs w:val="15"/>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expected credit losses of $5,595 and $4,330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 April 30, 2026 and July 31, 2025,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$372,283 and $366,817 at April 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July 31, 2025,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1,467,679</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borrowings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 (Note 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preferred units, net of issue discount and offering costs (700,000 units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April 30, 2026 and July 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Limited partners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(1,065,936)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deficit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1,467,679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505,510</w:t>
            </w:r>
          </w:p>
        </w:tc>
        <w:tc>
          <w:tcPr>
            <w:tcW w:w="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533,546</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1,436,547</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1,507,371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560,847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1,521,162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1,594,708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propane and other gas liquids sales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267,891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 -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Operating expense - personnel, vehicle, plant and other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159,392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expense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59,601</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105,768</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80" w:right="79" w:hanging="330"/>
        <w:spacing w:after="0" w:line="281"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$76.8 million and $75.1 million for the three months ended April 30, 2026 and 2025, respectively, and $233.5 million and $237.7 million for the nine months ended April 30, 2026 and 2025, respectively, of compensation and benefits expense paid to employees of the general partner.</w:t>
      </w:r>
    </w:p>
    <w:p>
      <w:pPr>
        <w:spacing w:after="0" w:line="15" w:lineRule="exact"/>
        <w:rPr>
          <w:rFonts w:ascii="Times New Roman" w:cs="Times New Roman" w:eastAsia="Times New Roman" w:hAnsi="Times New Roman"/>
          <w:sz w:val="16"/>
          <w:szCs w:val="16"/>
          <w:color w:val="auto"/>
        </w:rPr>
      </w:pPr>
    </w:p>
    <w:p>
      <w:pPr>
        <w:jc w:val="both"/>
        <w:ind w:left="380" w:right="79" w:hanging="330"/>
        <w:spacing w:after="0" w:line="281"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$11.0 million and $11.6 million for the three months ended April 30, 2026 and 2025, respectively, and $34.0 million and $35.1 million for the nine months ended April 30, 2026 and 2025, respectively, of compensation and benefits expense paid to employees of the general partner.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8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value of risk management derivatives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40" w:type="dxa"/>
            <w:vAlign w:val="bottom"/>
            <w:shd w:val="clear" w:color="auto" w:fill="CCEEFF"/>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of losses (gains) on derivatives to earnings,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114,730</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4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FERRELLGAS, L.P.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PARTNERS’ DEFICIT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continue"/>
          </w:tcPr>
          <w:p>
            <w:pPr>
              <w:spacing w:after="0"/>
              <w:rPr>
                <w:sz w:val="12"/>
                <w:szCs w:val="12"/>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gridSpan w:val="2"/>
            <w:vMerge w:val="continue"/>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loss (income)</w:t>
            </w:r>
          </w:p>
        </w:tc>
        <w:tc>
          <w:tcPr>
            <w:tcW w:w="240" w:type="dxa"/>
            <w:vAlign w:val="bottom"/>
            <w:gridSpan w:val="2"/>
            <w:vMerge w:val="continue"/>
          </w:tcPr>
          <w:p>
            <w:pPr>
              <w:spacing w:after="0"/>
              <w:rPr>
                <w:sz w:val="15"/>
                <w:szCs w:val="15"/>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31, 2025</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(1,020,328)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(8,508)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(1,028,919)</w:t>
            </w: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allocated to preferred units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31, 2025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(1,062,210)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(1,081,207)</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allocated to preferred units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103,478</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31, 2026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(974,478)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(989,130)</w:t>
            </w:r>
          </w:p>
        </w:tc>
        <w:tc>
          <w:tcPr>
            <w:tcW w:w="0" w:type="dxa"/>
            <w:vAlign w:val="bottom"/>
          </w:tcPr>
          <w:p>
            <w:pPr>
              <w:spacing w:after="0"/>
              <w:rPr>
                <w:sz w:val="1"/>
                <w:szCs w:val="1"/>
                <w:color w:val="auto"/>
              </w:rPr>
            </w:pPr>
          </w:p>
        </w:tc>
      </w:tr>
      <w:tr>
        <w:trPr>
          <w:trHeight w:val="178"/>
        </w:trPr>
        <w:tc>
          <w:tcPr>
            <w:tcW w:w="4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allocated to preferred units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(1,066,923)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(1,065,936)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8"/>
                <w:szCs w:val="18"/>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31, 2024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(7,733)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(950,011)</w:t>
            </w: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allocated to preferred units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(146,673)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31, 2024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(1,106,398)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(1,108,848)</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allocated to preferred units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99,682</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31, 2025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(1,023,094)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(1,021,981)</w:t>
            </w:r>
          </w:p>
        </w:tc>
        <w:tc>
          <w:tcPr>
            <w:tcW w:w="0" w:type="dxa"/>
            <w:vAlign w:val="bottom"/>
          </w:tcPr>
          <w:p>
            <w:pPr>
              <w:spacing w:after="0"/>
              <w:rPr>
                <w:sz w:val="1"/>
                <w:szCs w:val="1"/>
                <w:color w:val="auto"/>
              </w:rPr>
            </w:pPr>
          </w:p>
        </w:tc>
      </w:tr>
      <w:tr>
        <w:trPr>
          <w:trHeight w:val="178"/>
        </w:trPr>
        <w:tc>
          <w:tcPr>
            <w:tcW w:w="4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allocated to preferred units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(8,083)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(985,387)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vMerge w:val="restart"/>
          </w:tcPr>
          <w:p>
            <w:pPr>
              <w:ind w:left="6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105,768</w:t>
            </w:r>
          </w:p>
        </w:tc>
        <w:tc>
          <w:tcPr>
            <w:tcW w:w="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Reconciliation of net earnings to net cash provided by operating activities: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employee stock ownership plan compensation charge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asset sales and disposals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business acquisitions: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150,864</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acquisition, net of cash acquired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(70,415)</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unit distributions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Ferrellgas Partners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for settlement and early extinguishment of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principal portion of finance lease liability</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financing costs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(103,774)</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73,257</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unit data, unless otherwise designated)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80" w:right="5579" w:hanging="330"/>
        <w:spacing w:after="0" w:line="503" w:lineRule="auto"/>
        <w:tabs>
          <w:tab w:leader="none" w:pos="36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Partnership organization and formation </w:t>
      </w:r>
      <w:r>
        <w:rPr>
          <w:rFonts w:ascii="Times New Roman" w:cs="Times New Roman" w:eastAsia="Times New Roman" w:hAnsi="Times New Roman"/>
          <w:sz w:val="18"/>
          <w:szCs w:val="18"/>
          <w:u w:val="single" w:color="auto"/>
          <w:color w:val="auto"/>
        </w:rPr>
        <w:t>Ferrellgas Partners</w:t>
      </w: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Ferrellgas Partners, L.P. (“Ferrellgas Partners”) was formed on April 19, 1994, and is a publicly traded limited partnership. Ferrellgas Partners is a holding entity that conducts no operations and has two direct subsidiaries, Ferrellgas Partners Finance Corp. and Ferrellgas, L.P. (the “operating partnership”). Ferrellgas Partners was formed to acquire and hold a limited partner interest in the operating partnership. Ferrellgas Partners owns a 100% equity interest in Ferrellgas Partners Finance Corp., whose only business activity is to act as the co-issuer and co-obligor of any debt securities issued by Ferrellgas Partners. Our activities are primarily conducted through the operating partnership. Ferrellgas Partners and the operating partnership, collectively referred to as “Ferrellgas,” are both Delaware limited partnerships and are governed by their respective partnership agreements. These agreements contain specific provisions for the allocation of net earnings and loss to each of the partners for purposes of maintaining the partner capital accounts.</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Ferrellgas, Inc. (the “general partner”), a Delaware corporation and a wholly-owned subsidiary of Ferrell Companies, is the sole general partner of Ferrellgas Partners and the operating partnership and, excluding the economic interests attributable to the operating partnership’s Preferred Units (as defined in Note E “Preferred units”), owns an approximate 0.4% general partner economic interest in Ferrellgas Partners and an approximate 1.0% general partner economic interest in the operating partnership, and, therefore, an effective 1.4% general partner economic interest. Excluding the economic interests attributable to the Preferred Units, Ferrellgas Partners owns an approximate 99.0% limited partner interest in the operating partnership. Our general partner performs all management functions for us. Unless contractually provided for, creditors of the operating partnership have no recourse with regards to Ferrellgas Partners. As of April 30, 2026, Ferrell Companies Inc., a Kansas corporation (“Ferrell Companies”), the parent company of our general partner, beneficially owns approximately 10.0% of Ferrellgas Partners’ outstanding Class A Units. Ferrell Companies is owned 100% by an employee stock ownership trust.</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operating partnership was formed on April 22, 1994, and accounts for substantially all of our consolidated assets, sales and operating earnings. The operating partnership is a limited partnership that owns and operates propane distribution and related assets. Ferrellgas Partners and the holders of the Preferred Units are the only limited partners of the operating partnership.</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owns a 100% equity interest in Ferrellgas Finance Corp., whose only business activity is to act as the co-issuer and co-obligor of debt securities issued by the operating partnership.</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operating partnership is primarily engaged in the retail distribution of propane and related equipment sales. The propane distribution market is seasonal because propane is used primarily for heating in residential and commercial buildings. Ferrellgas serves residential, industrial/commercial, portable tank exchange, agricultural, wholesale and other customers in all 50 states, the District of Columbia, and Puerto Rico.</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Due to seasonality, the results of operations for the nine months ended April 30, 2026 are not necessarily indicative of the results to be expected for the full fiscal year ending July 31, 2026.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of Ferrellgas reflect all adjustments that are, in the opinion of management, necessary for a fair presentation of the interim periods presented. All adjustments to the condensed consolidated financial statements were of a normal recurring nature. The information included in this Quarterly Report on Form 10-Q should be read in conjunction with (i) the section entitled “Management’s Discussion and Analysis of Financial Condition and Results of Operations” and (ii) the consolidated financial statements and accompanying notes included in Ferrellgas’ Annual Report on Form 10-K for fiscal 2025.</w:t>
      </w:r>
    </w:p>
    <w:p>
      <w:pPr>
        <w:spacing w:after="0" w:line="183" w:lineRule="exact"/>
        <w:rPr>
          <w:sz w:val="20"/>
          <w:szCs w:val="20"/>
          <w:color w:val="auto"/>
        </w:rPr>
      </w:pPr>
    </w:p>
    <w:p>
      <w:pPr>
        <w:ind w:left="400" w:hanging="350"/>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 Accounting estimates</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condensed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expected credit losses, fair value of reporting unit, recoverability of long-lived assets, assumptions used to value business combinations, determination of incremental borrowing rate used to measure right-of-use assets (“ROU assets”) and lease liability, and fair values of derivative contracts.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 Goodwill, net</w:t>
      </w:r>
    </w:p>
    <w:p>
      <w:pPr>
        <w:spacing w:after="0" w:line="12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annually during the second fiscal quarter, or more frequently if events or changes in circumstances indicate that it is more likely than not the fair value of a reporting unit is less than the carrying value. Ferrellgas has determined that it has one reporting unit for goodwill impairment testing purposes. Ferrellgas completed its most recent annual goodwill impairment test on January 31, 2026 and did not incur an impairment loss.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 Principles of consolidation and basis of presentation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(4) New accounting standards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11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In addition to new disclosures associated with the reconciliation of the effective tax rate to the statutory rate, ASU 2023-09 requires information related to taxes paid to be disaggregated for federal and state taxes and further disaggregated for specific jurisdictions to the extent they exceed a quantitative threshold. ASU 2023-09 is effective prospectively with an option for retrospective application for fiscal years beginning after December 15, 2024. The Company adopted ASU 2023-09 as of August 1, 2025 on a prospective basis. The adoption of this guidance adds disclosures related to income taxes within the Company’s Annual Report on Form 10-K for the year ended July 31, 2026 but will not have any impact on its financial statements.</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2025-09”), which amends certain aspects of existing hedge accounting guidance to more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with the economics of an entity’s risk management activities. ASU 2025-09 is effective for annual reporting periods beginning after December 15, 2026, and interim reporting periods within those annual reporting periods on a prospective basis. Early adoption is permitted. The Company prospectively adopted ASU 2025-09 as of February 1, 2026. The guidance had no impact on the Company’s financial statements or disclosures.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2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requires the disaggregation, in the notes to the financial statements, of certain cost and expense captions presented on the face of the Company’s Statement of Operations, to provide enhanced transparency to investors. The update may be applied either prospectively or retrospectively. ASU 2024-03 is effective for fiscal years beginning after December 15, 2026 and interim periods within fiscal years beginning after December 15, 2027. Early adoption is permitted. The Company plans to adopt ASU 2024-03 starting with our Form 10-K for the year ended July 31, 2028, and our quarterly reports on Form 10-Q starting with our quarterly report for the quarter ended October 31, 2028, as clarified by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Clarifying the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currently evaluating the impact ASU 2024-03 will have on its disclosures.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2025-05”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introduces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permitting an entity to assume that conditions at the balance sheet date remain unchanged over the life of the asset when estimating expected credit losses on current accounts receivable and current contract assets under ASC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ASU 2025-05 is effective prospectively for annual reporting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2025, and interim reporting periods within those annual reporting periods. Early adoption is permitted. The Company plans to adopt ASU 2025-05 as of August 1, 2026, and elect the practical expedient. The adoption of this guidance will not have a material impact on the Company’s consolidated financial statements and disclosures.</w:t>
      </w:r>
    </w:p>
    <w:p>
      <w:pPr>
        <w:spacing w:after="0" w:line="18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(“ASU 2025-06”), which clarifies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modernizes the guidance to reflect the evolution of software development from a sequential to an agile development method. ASU 2025-06 removes all references to project stages to reflect this change in software development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ASU 2025-06 is effective for annual reporting periods beginning after December 15, 2027, and interim reporting periods within those annual reporting periods. Early adoption is permitted as of the beginning of an annual reporting period. The amendments may be adopted either prospectively, using a modified transition approach, or retrospectively. The Company is currently evaluating the impact ASU 2025-06 will have on its financial statements and disclosures.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which is intended to clarify interim reporting requirements and requires entities to disclose events since the end of the last annual reporting period that have a material impact on the entity. ASU 2025-11 is effective for annual reporting periods beginning after December 15, 2027, and interim reporting periods within those annual reporting periods either prospectively or retrospectively. Early adoption is permitted. The adoption of this guidance will impact our disclosures only and is not expected to have a material impact.</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2026, the FASB issued ASU 2026-02, Environmental Credits and Environmental Credit Obligations (Topic</w:t>
      </w:r>
    </w:p>
    <w:p>
      <w:pPr>
        <w:spacing w:after="0" w:line="27" w:lineRule="exact"/>
        <w:rPr>
          <w:sz w:val="20"/>
          <w:szCs w:val="20"/>
          <w:color w:val="auto"/>
        </w:rPr>
      </w:pPr>
    </w:p>
    <w:p>
      <w:pPr>
        <w:jc w:val="both"/>
        <w:ind w:left="60" w:right="59" w:hanging="10"/>
        <w:spacing w:after="0" w:line="251" w:lineRule="auto"/>
        <w:tabs>
          <w:tab w:leader="none" w:pos="4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2026-02"), to improve the accounting and disclosure of environmental credits and environmental credit obligations. The guidance applies to entities with operations subject to environmental regulations and those that acquire environmental credits to achieve targets related to carbon footprint initiatives. Under ASU 2026-02, an entity will recognize and measure environmental credit assets based on their intended use as well as how the credits were obtained. Environmental credit obligations will be recognized and measured depending on whether an entity holds and expects to use compliance environmental credits to settle that obligation. For public companies, the guidance is effective for annual reporting periods beginning after December 15, 2027, and interim reporting periods within those annual reporting periods. Early adoption is permitted as of the beginning of an annual reporting period. ASU 2026-02 is to be adopted retrospectively, through a cumulative-effect adjustment to the opening balance of retained earnings as of the beginning of the annual reporting period of adoption. The Company is currently evaluating the impact ASU 2026-02 will have on its financial statements and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C.</w:t>
        <w:tab/>
        <w:t>Supplemental financial statement information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00" w:type="dxa"/>
            <w:vAlign w:val="bottom"/>
          </w:tcPr>
          <w:p>
            <w:pPr>
              <w:ind w:left="65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July 31, 2025</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gas and related products</w:t>
            </w: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66,052</w:t>
            </w: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Appliances, parts and supplies, and other</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21,755</w:t>
            </w:r>
          </w:p>
        </w:tc>
      </w:tr>
      <w:tr>
        <w:trPr>
          <w:trHeight w:val="209"/>
        </w:trPr>
        <w:tc>
          <w:tcPr>
            <w:tcW w:w="6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79,453</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87,807</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inventories on hand, Ferrellgas enters into contracts to take delivery of propane for supply procurement purposes with terms that generally do not exceed 36 months. Most of these contracts call for payment based on market prices at the date of delivery. As of April 30, 2026, Ferrellgas had committed, for supply procurement purposes, to deliver approximately 1.3 million gallons of propane at net fixed prices.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20" w:type="dxa"/>
            <w:vAlign w:val="bottom"/>
          </w:tcPr>
          <w:p>
            <w:pPr>
              <w:ind w:left="4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margin deposit assets</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Price risk management asset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The operating partnership</w:t>
            </w:r>
          </w:p>
        </w:tc>
        <w:tc>
          <w:tcPr>
            <w:tcW w:w="45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Borders>
              <w:bottom w:val="single" w:sz="8" w:color="auto"/>
            </w:tcBorders>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520" w:type="dxa"/>
            <w:vAlign w:val="bottom"/>
          </w:tcPr>
          <w:p>
            <w:pPr>
              <w:ind w:left="4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margin deposit assets</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Price risk management asset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Ferrellgas Partners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520" w:type="dxa"/>
            <w:vAlign w:val="bottom"/>
          </w:tcPr>
          <w:p>
            <w:pPr>
              <w:ind w:left="4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deposits and advances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margin deposit liability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senior preferred units distributions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miscellaneous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215,154</w:t>
            </w:r>
          </w:p>
        </w:tc>
        <w:tc>
          <w:tcPr>
            <w:tcW w:w="0" w:type="dxa"/>
            <w:vAlign w:val="bottom"/>
          </w:tcPr>
          <w:p>
            <w:pPr>
              <w:spacing w:after="0"/>
              <w:rPr>
                <w:sz w:val="1"/>
                <w:szCs w:val="1"/>
                <w:color w:val="auto"/>
              </w:rPr>
            </w:pPr>
          </w:p>
        </w:tc>
      </w:tr>
      <w:tr>
        <w:trPr>
          <w:trHeight w:val="20"/>
        </w:trPr>
        <w:tc>
          <w:tcPr>
            <w:tcW w:w="6720" w:type="dxa"/>
            <w:vAlign w:val="bottom"/>
            <w:gridSpan w:val="5"/>
            <w:vMerge w:val="restart"/>
          </w:tcPr>
          <w:p>
            <w:pPr>
              <w:jc w:val="right"/>
              <w:ind w:right="2108"/>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672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60" w:type="dxa"/>
            <w:vAlign w:val="bottom"/>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July 31, 2025</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and advances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margin deposit liability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Accrued senior preferred units distributions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miscellaneous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r>
      <w:tr>
        <w:trPr>
          <w:trHeight w:val="21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41,167</w:t>
            </w:r>
          </w:p>
        </w:tc>
      </w:tr>
      <w:tr>
        <w:trPr>
          <w:trHeight w:val="210"/>
        </w:trPr>
        <w:tc>
          <w:tcPr>
            <w:tcW w:w="6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214,562</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expenses</w:t>
      </w:r>
    </w:p>
    <w:p>
      <w:pPr>
        <w:spacing w:after="0" w:line="121" w:lineRule="exact"/>
        <w:rPr>
          <w:sz w:val="20"/>
          <w:szCs w:val="20"/>
          <w:color w:val="auto"/>
        </w:rPr>
      </w:pPr>
    </w:p>
    <w:p>
      <w:pPr>
        <w:jc w:val="both"/>
        <w:ind w:left="60" w:right="120" w:firstLine="324"/>
        <w:spacing w:after="0" w:line="282" w:lineRule="auto"/>
        <w:rPr>
          <w:sz w:val="20"/>
          <w:szCs w:val="20"/>
          <w:color w:val="auto"/>
        </w:rPr>
      </w:pPr>
      <w:r>
        <w:rPr>
          <w:rFonts w:ascii="Times New Roman" w:cs="Times New Roman" w:eastAsia="Times New Roman" w:hAnsi="Times New Roman"/>
          <w:sz w:val="18"/>
          <w:szCs w:val="18"/>
          <w:color w:val="auto"/>
        </w:rPr>
        <w:t>Shipping and handling expenses are classified in the following condensed consolidated statements of operations line items: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96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$ 237,305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$ 231,075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Shipping and handling expenses</w:t>
            </w:r>
          </w:p>
        </w:tc>
        <w:tc>
          <w:tcPr>
            <w:tcW w:w="5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85,666</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81,817</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$ 255,792</w:t>
            </w:r>
          </w:p>
        </w:tc>
        <w:tc>
          <w:tcPr>
            <w:tcW w:w="16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$ 251,539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0" w:right="1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the condensed consolidated statements of cash flows, Ferrellgas considers cash equivalents to include all highly liquid debt instruments purchased with an original maturity of three months or less.</w:t>
      </w:r>
    </w:p>
    <w:p>
      <w:pPr>
        <w:spacing w:after="0" w:line="3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Certain cash flow and non-cash activities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cash flow and significant non-cash activities are presented below:</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vMerge w:val="restart"/>
          </w:tcPr>
          <w:p>
            <w:pPr>
              <w:ind w:left="648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incurred in connection with acquisitions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accruals for property, plant and equipment additions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arising from operating ROU assets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 arising from finance ROU assets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senior preferred units distributions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assets in failed sale-leaseback</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liability in connection with failed sale-leaseback</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6"/>
        </w:trPr>
        <w:tc>
          <w:tcPr>
            <w:tcW w:w="66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40" w:top="513" w:right="137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240" w:type="dxa"/>
            <w:vAlign w:val="bottom"/>
            <w:gridSpan w:val="2"/>
          </w:tcPr>
          <w:p>
            <w:pPr>
              <w:ind w:left="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incurred in connection with acquisitions</w:t>
            </w: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accruals for property, plant and equipment additions</w:t>
            </w: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arising from operating ROU assets</w:t>
            </w: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 arising from finance ROU assets</w:t>
            </w: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senior preferred units distributions</w:t>
            </w: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assets in failed sale-leaseback</w:t>
            </w: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liability in connection with failed sale-leaseback</w:t>
            </w:r>
          </w:p>
        </w:tc>
        <w:tc>
          <w:tcPr>
            <w:tcW w:w="12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Debt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classified borrowings under its Credit Facility (as defined below) as short-term because they are primarily used to fund working capital needs that management intends to pay down within the 12-month period following the balance sheet date. As of April 30, 2026, we had $87.5 million in short-term borrowings. For further discussion, see the “</w:t>
      </w:r>
      <w:r>
        <w:rPr>
          <w:rFonts w:ascii="Times New Roman" w:cs="Times New Roman" w:eastAsia="Times New Roman" w:hAnsi="Times New Roman"/>
          <w:sz w:val="18"/>
          <w:szCs w:val="18"/>
          <w:i w:val="1"/>
          <w:iCs w:val="1"/>
          <w:color w:val="auto"/>
        </w:rPr>
        <w:t>Senior secured revolving credit facility</w:t>
      </w:r>
      <w:r>
        <w:rPr>
          <w:rFonts w:ascii="Times New Roman" w:cs="Times New Roman" w:eastAsia="Times New Roman" w:hAnsi="Times New Roman"/>
          <w:sz w:val="18"/>
          <w:szCs w:val="18"/>
          <w:color w:val="auto"/>
        </w:rPr>
        <w:t>” section below.</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460" w:type="dxa"/>
            <w:vAlign w:val="bottom"/>
          </w:tcPr>
          <w:p>
            <w:pPr>
              <w:ind w:left="43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Unsecured senior notes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Fixed rate, 5.375%, due 2026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5.875%, due 2029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Fixed rate, 9.250%, due 2031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9.1% and 8.9% weighted average interest rate at April 30, 2026 and July 31, 2025,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 due 2026 to 2032, net of unamortized discount of $540 and $800 at April 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July 31, 2025,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excluding unamortized debt issuance and other costs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and other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current portion of long-term debt </w:t>
            </w:r>
            <w:r>
              <w:rPr>
                <w:rFonts w:ascii="Times New Roman" w:cs="Times New Roman" w:eastAsia="Times New Roman" w:hAnsi="Times New Roman"/>
                <w:sz w:val="25"/>
                <w:szCs w:val="25"/>
                <w:color w:val="auto"/>
                <w:vertAlign w:val="superscript"/>
              </w:rPr>
              <w:t>(3)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1,455,132</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notes due 2026 were redeemed in full on October 27, 2025. See “</w:t>
      </w:r>
      <w:r>
        <w:rPr>
          <w:rFonts w:ascii="Times New Roman" w:cs="Times New Roman" w:eastAsia="Times New Roman" w:hAnsi="Times New Roman"/>
          <w:sz w:val="16"/>
          <w:szCs w:val="16"/>
          <w:i w:val="1"/>
          <w:iCs w:val="1"/>
          <w:color w:val="auto"/>
        </w:rPr>
        <w:t>Senior unsecured notes</w:t>
      </w:r>
      <w:r>
        <w:rPr>
          <w:rFonts w:ascii="Times New Roman" w:cs="Times New Roman" w:eastAsia="Times New Roman" w:hAnsi="Times New Roman"/>
          <w:sz w:val="16"/>
          <w:szCs w:val="16"/>
          <w:color w:val="auto"/>
        </w:rPr>
        <w:t>” section below.</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notes due 2031 were issued on October 27, 2025. See “</w:t>
      </w:r>
      <w:r>
        <w:rPr>
          <w:rFonts w:ascii="Times New Roman" w:cs="Times New Roman" w:eastAsia="Times New Roman" w:hAnsi="Times New Roman"/>
          <w:sz w:val="16"/>
          <w:szCs w:val="16"/>
          <w:i w:val="1"/>
          <w:iCs w:val="1"/>
          <w:color w:val="auto"/>
        </w:rPr>
        <w:t>Senior unsecured notes</w:t>
      </w:r>
      <w:r>
        <w:rPr>
          <w:rFonts w:ascii="Times New Roman" w:cs="Times New Roman" w:eastAsia="Times New Roman" w:hAnsi="Times New Roman"/>
          <w:sz w:val="16"/>
          <w:szCs w:val="16"/>
          <w:color w:val="auto"/>
        </w:rPr>
        <w:t>” section below.</w:t>
      </w:r>
    </w:p>
    <w:p>
      <w:pPr>
        <w:spacing w:after="0" w:line="74"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July 31, 2025, this included the $650.0 million aggregate principal amount of 5.375% senior notes due April 1, 2026.</w:t>
      </w:r>
    </w:p>
    <w:p>
      <w:pPr>
        <w:spacing w:after="0" w:line="228"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Senior secured revolving credit facility</w:t>
      </w:r>
    </w:p>
    <w:p>
      <w:pPr>
        <w:spacing w:after="0" w:line="11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operating partnership, the general partner and certain of the operating partnership’s subsidiaries as guarantors are parties to a credit agreement dated March 30, 2021, as amended from time to time (as so amended, including by the Seventh Amendment (as defined below), the “Credit Agreement”), with JPMorgan Chase Bank, N.A. as administrative agent and collateral agent, and the lenders and issuing lenders party thereto from time to time, which prior to the Seventh Amendment, provided for a four-year revolving credit facility (as modified by the Seventh Amendment, the “Credit Facility”), with a maturity date of December 31, 2025, in an aggregate principal amount of up to $308.8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October 27, 2025, the operating partnership entered into the Seventh Amendment to the Credit Agreement (the “Seventh Amendment”) which, among other things, extended the maturity date to October 27, 2028 and increased the maximum borrowing capacity to $350.0 million, with availability subject to a periodic borrowing base calculation, and an accordion feature allowing for increases by up to $50.0 million in the aggregate subject to customary conditions. The Credit Agreement includes a sublimit not to exceed $300.0 million for the issuance of letters of credit.</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April 30, 2026, the operating partnership had $87.5 million in short-term borrowings borrowed at a weighted-average interest rate of 6.674%.</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All borrowings under the Credit Facility are guaranteed by the general partner and the direct and indirect subsidiaries of the operating partnership (other than Ferrellgas Finance Corp., Ferrellgas Receivables, LLC, Bridger Logistics, LLC and all of the direct and indirect subsidiaries of Bridger Logistics, LLC) and a limited-recourse guaranty from Ferrellgas Partners (limited to its equity interests in the operating partnership). Additionally, all borrowings are secured, on a first priority basis, by substantially all of the assets of the operating partnership and its subsidiaries and all of the equity interests in the operating partnership held by the general partner and Ferrellgas Partners.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Availability under the Credit Facility is, at any time, an amount equal to (a) the lesser of the lenders’ revolving commitments ($350.0 million initially following the Seventh Amendment) and the Borrowing Base (as defined below) minus (b) the sum of the aggregate outstanding amount of borrowings under the Credit Facility plus the undrawn amount of outstanding letters of credit under the Credit Facility plus unreimbursed drawings in respect of letters of credit (unless otherwise converted into revolving loans). The “Borrowing Base” equals the sum of: (a) $250.0 million, plus (b) 80% of the eligible accounts receivable of the operating partnership and its subsidiaries, plus (c) 70% of the eligible propane inventory of the operating partnership and its subsidiaries, valued at weighted average cost, less (d) certain reserves, as determined and subject to certain modifications by the administrative agent in its permitted discretion.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Amounts borrowed under the Credit Facility bear interest, at the operating partnership’s option, at either (a) for base rate loans, (i) a base rate determined by reference to the highest of (A) the rate of interest last quoted by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in the U.S. as the prime rate in effect, (B) the NYFRB Rate from time to time plus 0.50% per annum and (C)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Secured Overnight Financing Rate (“Term SOFR”) for a one-month interest period plus 1.00% per annum plus (ii) a margin of 1.25% to 2.25% per annum depending on the operating partnership’s total net leverage ratio or (b) for term benchmark loans, (i) a rate determined by reference to the Term SOFR plus (ii) a margin of 2.25% to 3.25% per annum depending on the operating partnership’s total net leverage ratio. The operating partnership will be required to pay an undrawn fee to the lenders on the average daily unused amount of the Credit Facility at a rate of 0.375% to 0.50% per annum.</w:t>
      </w:r>
    </w:p>
    <w:p>
      <w:pPr>
        <w:spacing w:after="0" w:line="18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representations, warranties, covenants and events of default and requires the operating partnership to maintain the following ratios: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10"/>
        </w:trPr>
        <w:tc>
          <w:tcPr>
            <w:tcW w:w="738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Minimum interest coverage ratio </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2.50x</w:t>
            </w:r>
          </w:p>
        </w:tc>
      </w:tr>
      <w:tr>
        <w:trPr>
          <w:trHeight w:val="216"/>
        </w:trPr>
        <w:tc>
          <w:tcPr>
            <w:tcW w:w="760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Maximum secured leverage ratio </w:t>
            </w:r>
            <w:r>
              <w:rPr>
                <w:rFonts w:ascii="Times New Roman" w:cs="Times New Roman" w:eastAsia="Times New Roman" w:hAnsi="Times New Roman"/>
                <w:sz w:val="25"/>
                <w:szCs w:val="25"/>
                <w:color w:val="auto"/>
                <w:vertAlign w:val="superscript"/>
              </w:rPr>
              <w:t>(2)</w:t>
            </w:r>
          </w:p>
        </w:tc>
        <w:tc>
          <w:tcPr>
            <w:tcW w:w="1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2.50x</w:t>
            </w:r>
          </w:p>
        </w:tc>
      </w:tr>
      <w:tr>
        <w:trPr>
          <w:trHeight w:val="216"/>
        </w:trPr>
        <w:tc>
          <w:tcPr>
            <w:tcW w:w="76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Maximum total net leverage ratio </w:t>
            </w:r>
            <w:r>
              <w:rPr>
                <w:rFonts w:ascii="Times New Roman" w:cs="Times New Roman" w:eastAsia="Times New Roman" w:hAnsi="Times New Roman"/>
                <w:sz w:val="25"/>
                <w:szCs w:val="25"/>
                <w:color w:val="auto"/>
                <w:vertAlign w:val="superscript"/>
              </w:rPr>
              <w:t>(3)</w:t>
            </w: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5.25x</w:t>
            </w:r>
          </w:p>
        </w:tc>
      </w:tr>
      <w:tr>
        <w:trPr>
          <w:trHeight w:val="169"/>
        </w:trPr>
        <w:tc>
          <w:tcPr>
            <w:tcW w:w="2240" w:type="dxa"/>
            <w:vAlign w:val="bottom"/>
            <w:tcBorders>
              <w:bottom w:val="single" w:sz="8" w:color="auto"/>
            </w:tcBorders>
          </w:tcPr>
          <w:p>
            <w:pPr>
              <w:spacing w:after="0"/>
              <w:rPr>
                <w:sz w:val="14"/>
                <w:szCs w:val="14"/>
                <w:color w:val="auto"/>
              </w:rPr>
            </w:pPr>
          </w:p>
        </w:tc>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21"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generally as the ratio of adjusted EBITDA to cash interest expense.</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generally as the ratio of total first priority secured indebtedness to adjusted EBITDA.</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generally as the ratio of total indebtedness (net of unrestricted cash, subject to certain limits) to adjusted EBITDA.</w:t>
      </w:r>
    </w:p>
    <w:p>
      <w:pPr>
        <w:spacing w:after="0" w:line="23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financial covenants, the Credit Agreement includes covenants that may (or if not met will) restrict the ability of the operating partnership to take certain actions. In particular, under these covenants, subject to certain exceptions and additional requirements, the operating partnership is permitted to make cash distributions to holders of Preferred Units, redemptions of Preferred Units conditional to a refinancing event, and other restricted payments if (i) availability under the Credit Facility exceeds the greater of $50.0 million and 15% of the commitments and (ii) the operating partnership’s total net leverage ratio is not greater than (x) 5.25 to 1.0 for any quarter ending prior to April 30, 2027 and (y) 5.0 to 1.0 for any quarter ending on or after April 30, 2027. As of April 30, 2026, the operating partnership is in compliance with all of its debt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1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October 27, 2025, the operating partnership and Ferrellgas Finance Corp. (collectively, the “Issuers”) issued $650.0 million aggregate principal amount of 9.250% senior notes due 2031 (the “2031 Notes”) at an offering price equal to 100% of the principal amount thereof. Net proceeds of approximately $637.5 million, after deducting the initial purchasers’ discount and offering expenses, were used, together with cash on hand, to redeem all $650.0 million aggregate principal amount of the Issuers’ 5.375% senior notes due April 1, 2026 (the “2026 Notes”).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2031 Notes were issued pursuant to an indenture dated October 27, 2025 and will mature on January 15, 2031. Interest is payable semi-annually on January 15 and July 15 of each year, commencing on July 15, 2026. The 2031 Notes are senior unsecured obligations of the Issuers and are unconditionally guaranteed, jointly and severally, on a senior unsecured basis by the general partner and all domestic subsidiaries of the operating partnership other than Ferrellgas Finance Corp., Ferrellgas Receivables, LLC, Bridger Logistics, LLC and all of the subsidiaries of Bridger Logistics, LLC. At any time prior to January 15, 2028, the 2031 Notes may be redeemed at the Issuers’ option, in whole or in part, at a redemption price equal to 100% of the principal amount of the 2031 Notes redeemed, plus a make-whole premium and accrued and unpaid interest. Additionally, prior to January 15, 2028, the Issuers may, at their option, on any one or more occasions redeem up to 40% of the principal amount of the 2031 Notes in an amount not in excess of certain equity offerings at a redemption price of 109.250% of the principal amount of the 2031 Notes, plus accrued and unpaid interest. On and after January 15, 2028, the Issuers have the right to redeem the 2031 Notes, in whole or in part, at the redemption prices set forth in the indenture governing the 2031 Notes, plus accrued and unpaid interest.</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operating partnership also has $825.0 million aggregate principal amount of 5.875% senior notes due April 1, 2029 (the “2029 Notes”) issued and outstanding pursuant to an indenture dated March 30, 2021. The 2029 Notes are senior unsecured obligations of the Issuers and are unconditionally guaranteed, jointly and severally, on a senior unsecured basis by the general partner and all domestic subsidiaries of the operating partnership other than Ferrellgas Finance Corp., Ferrellgas Receivables, LLC, Bridger Logistics, LLC and all of the subsidiaries of Bridger Logistics, LLC. The 2029 Notes may be redeemed at the Issuers’ option, in whole or in part, at par plus accrued and unpaid interest.</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indentures governing the 2029 Notes and 2031 Notes contain customary affirmative and negative covenants restricting, among other things, the ability of the operating partnership and its restricted subsidiaries to take certain actions. In particular, under these covenants, subject to certain exceptions and additional requirements, the operating partnership is permitted to make cash distributions to holders of Preferred Units, Ferrellgas Partners and the general partner, redemptions of Preferred Units and other restricted payments (i) only in limited amounts specified in the indentures and (ii) only if the operating partnership’s net leverage ratio (defined generally to mean the ratio of consolidated total net debt to trailing four quarters consolidated EBITDA, both as adjusted for certain, specified items) is not greater than:</w:t>
      </w:r>
    </w:p>
    <w:p>
      <w:pPr>
        <w:spacing w:after="0" w:line="81"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indenture governing the 2029 Notes, 5.00 to 1.00, and</w:t>
      </w:r>
    </w:p>
    <w:p>
      <w:pPr>
        <w:spacing w:after="0" w:line="27"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indenture governing the 2031 Notes, (i) 5.25 to 1.00 through the four-quarter period ending January 31, 2027 and (ii) 5.00 to 1.00 for the four-quarter period ending April 30, 2027 and thereafter,</w:t>
      </w:r>
    </w:p>
    <w:p>
      <w:pPr>
        <w:spacing w:after="0" w:line="1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each case, on a pro forma basis giving effect to the restricted payment and, if applicable, certain other specified events. Further, if the operating partnership’s consolidated fixed charge coverage ratio (defined generally to mean the ratio of trailing four quarters consolidated EBITDA to consolidated fixed charges, both as adjusted for certain, specified items) is equal to or less than 1.75 to 1.00 (on a pro forma basis giving effect to the restricted payment and, if applicable, certain other specified events), the amount of distributions and other restricted payments the operating partnership is permitted to make under the indentures is further limited. As of April 30, 2026, the operating partnership is in compliance with all of its debt covenants.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1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discussed above, all of the 2026 Notes were redeemed on October 27, 2025. This transaction resulted in a loss on extinguishment of debt, with the components listed below: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2500" w:type="dxa"/>
            <w:vAlign w:val="bottom"/>
            <w:gridSpan w:val="5"/>
          </w:tcPr>
          <w:p>
            <w:pPr>
              <w:jc w:val="right"/>
              <w:spacing w:after="0"/>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on extinguishment of debt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scheduled annual principal payments on long-term debt are as follows:</w:t>
            </w: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due by fiscal year</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0" w:type="dxa"/>
            <w:vAlign w:val="bottom"/>
          </w:tcPr>
          <w:p>
            <w:pPr>
              <w:spacing w:after="0"/>
              <w:rPr>
                <w:sz w:val="1"/>
                <w:szCs w:val="1"/>
                <w:color w:val="auto"/>
              </w:rPr>
            </w:pPr>
          </w:p>
        </w:tc>
      </w:tr>
      <w:tr>
        <w:trPr>
          <w:trHeight w:val="173"/>
        </w:trPr>
        <w:tc>
          <w:tcPr>
            <w:tcW w:w="64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825,550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650,400</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1,478,482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Letters of credit were used to secure insurance arrangements, product purchases and commodity hedges. Letters of credit outstanding at April 30, 2026 and July 31, 2025 totaled $116.2 million and $121.9 million, respectively.</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April 30, 2026, Ferrellgas had available borrowing capacity under its Credit Facility of $146.3 million. Assets subject to lien under the Credit Facility were $400.3 million as of April 30, 2026.</w:t>
      </w:r>
    </w:p>
    <w:p>
      <w:pPr>
        <w:spacing w:after="0" w:line="158" w:lineRule="exact"/>
        <w:rPr>
          <w:sz w:val="20"/>
          <w:szCs w:val="20"/>
          <w:color w:val="auto"/>
        </w:rPr>
      </w:pPr>
    </w:p>
    <w:p>
      <w:pPr>
        <w:ind w:left="400" w:hanging="350"/>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units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March 30, 2021, pursuant to an Investment Agreement, the operating partnership issued an aggregate of 700,000 Preferred Units (the “Preferred Units”), having an aggregate initial liquidation preference of $700.0 million.</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described in greater detail under “Issuer Redemption Right” below, the Redemption Price for the Preferred Units is based upon the greater of the amount that would result in a 1.47x MOIC (defined below) and the amount that would result in a 12.25% internal rate of return.</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“MOIC” means, with respect to a Preferred Unit, a multiple on invested capital equal to the quotient determined by dividing (A) the sum of (x) the aggregate amount of all distributions made in cash with respect to such Preferred Unit prior to the applicable date of determination, with certain exclusions, plus (y) each Redemption Price paid in cash in respect of such Preferred Unit, on or prior to the applicable date of determination, by (B) the Purchase Price (defined below) of such Preferred Unit.</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preferences, rights, privileges and other terms of the Preferred Units are set forth in the First Amendment to the Amended OpCo LPA (the “OpCo LPA Amendment”) entered into by the general partner on March 30, 2021 (along with the Fifth Amended and Restated Agreement of Limited Partnership of Ferrellgas, L.P. (the “Amended OpCo LPA”)) and are described below.</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Issuer Redemption Right</w:t>
      </w:r>
    </w:p>
    <w:p>
      <w:pPr>
        <w:spacing w:after="0" w:line="11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operating partnership has the right to redeem all or a portion of the Preferred Units for cash, pro rata and at any time and from time to time, including in connection with a Change of Control (as defined in the OpCo LPA Amendment), at an amount per Preferred Unit (the “Redemption Price”) equal to, without duplication, the sum of (a) the greater of (i) the amount necessary to result in a MOIC of 1.47x in respect of the purchase price, before discount, of such Preferred Unit, which is $1,000 per Preferred Unit (the “Purchase Price”), and (ii) the amount necessary to result in the applicable internal rate of return equal to 12.25%, which is increased by 150 basis points if the operating partnership has elected to pay more than four Quarterly Distributions (as defined below) in PIK Units (as defined below) and (b) the accumulated but unpaid Quarterly Distributions to the date of redemption, if any. A partial redemption of the Preferred Units is permitted only in the event the aggregate amount to be paid in respect of all Preferred Units included in such partial redemption is at least $25.0 million.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Investor Redemption Right</w:t>
      </w:r>
    </w:p>
    <w:p>
      <w:pPr>
        <w:spacing w:after="0" w:line="11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event that (i) any Class B Units are outstanding, or (ii) (x) no Class B Units are outstanding and (y) no more than 233,300 Preferred Units are outstanding, at any time on and after March 30, 2031, the Required Holders may elect, by delivery of written notice, to have the operating partnership fully redeem each remaining outstanding Preferred Unit for an amount in cash equal to the Redemption Price. “Required Holders” refers to both (i) holders owning at least 33.3% of the total Preferred Units outstanding at any time and (ii) certain initial affiliated purchasers, for so long as such initial affiliated purchasers collectively own at least 25% of the Preferred Units outstanding at such time.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the event that (i) no Class B Units are outstanding and (ii) more than 233,300 Preferred Units are outstanding, the Required Holders will have the right to trigger a sale of the operating partnership after March 30, 2031. If the operating partnership fails to consummate a sale that would pay the Redemption Price in full within 180 days of written notice requiring such sale, the Required Holders will have the right to appoint a majority of the members of the Board of Directors of the general partner and initiate a sale of the operating partnership.</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Class B Units were converted into Class A Units on March 16, 2026. See Note F “Equity (Deficit)” for more information.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1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Upon a Change of Control (as defined in the OpCo LPA Amendment), the Required Holders will have the option to require the redemption of all or a portion of the Preferred Units in cash in an amount equal to the Redemption Price; provided, that such Redemption Price shall not be payable unless the operating partnership shall have first made any required change of control offer pursuant to the indentures governing the 2029 Notes and the 2031 Notes and purchased all such 2029 Notes and 2031 Notes tendered pursuant to such offer (unless otherwise waived by such noteholders); provided, further that the Redemption Price shall be paid immediately following the purchase of such tendered Notes (if any).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Fair Value of Embedded Derivatives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identified the investor redemption right and the change in control option as embedded derivatives that require bifurcation as they are not clearly and closely related to the debt host contract and has concluded that the fair values at issuance and at April 30, 2026 and July 31, 2025, are immaterial to the financial statements.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OpCo LPA Amendment, the operating partnership is required to pay to the holders of each Preferred Unit a cumulative, quarterly distribution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Quarterly Distribution”) at the Distribution Rate (as defined below) on the Purchase Price.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“Distribution Rate” means a rate per annum of (a) 8.956% through March 30, 2026, (b) 9.706% for the four-quarter period ending March 30, 2027, (c) 10.456% for the four-quarter period ending March 30, 2028, and (d) 11.125% for all periods after March 30, 2028, subject to a maximum rate of 11.125% and to other adjustments and exceptions described in the following paragraphs.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Quarterly Distribution may be paid in cash or, at the election of the operating partnership,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in kind” through the issuance of additional Preferred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Distribution Rate on the Preferred Units will increase upon violation of certain protective provisions for the benefit of Preferred Unit holders notwithstanding the cap mentioned above.</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15, 2025 and February 17, 2026, $15.4 million of the Quarterly Distribution, net of tax, was paid in cash to holders of Preferred Units. On May 15, 2026, $16.7 million of the Quarterly Distribution, net of tax, was paid in cash to holders of Preferred Units. As of April 30, 2026, the Quarterly Distribution accrued was $17.9 million. The remaining Quarterly Distribution accrual of $1.2 million represents Additional Amounts payable to certain holders of Preferred Units pursuant to the side letters outlined in the OpCo LPA Amendment.</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November 15, 2024, February 15, 2025, and May 15, 2025, $15.4 million of the Quarterly Distribution, net of tax, was paid in cash to holders of Preferred Units. As of April 30, 2025, the Quarterly Distribution accrued was $17.0 million. The remaining Quarterly Distribution accrual of $1.6 million represents Additional Amounts payable to certain holders of Preferred Units pursuant to the side letters.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Tax Distributions</w:t>
      </w:r>
    </w:p>
    <w:p>
      <w:pPr>
        <w:spacing w:after="0" w:line="11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any quarter in which the operating partnership makes a Quarterly Distribution in PIK Units in lieu of cash, it will be required to make a subsequent cash tax distribution for such quarter in an amount equal to the (i) the lesser of (x) 25% and (y) the highest combined federal, state and local tax rate applicable for corporations organized in New York, multiplied by (ii) the excess (if any) of (A) one-fourth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Additional Amounts for Certain Purchasers</w:t>
      </w:r>
    </w:p>
    <w:p>
      <w:pPr>
        <w:spacing w:after="0" w:line="11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operating partnership is required to pay certain additional amounts of cash (the “Additional Amounts”) as necessary to certain holders of Preferred Units that hold their interests through a “blocker,” which is a U.S. entity that is owned and organized by certain original purchasers of Preferred Units who are non-U.S. persons or tax exempt for U.S. tax purposes and is treated as a corporation for U.S. tax purposes. Only certain original purchasers of Preferred Units who hold their Preferred Units through such blockers are, and none of their transferees is, entitled to Additional Amounts. Additional Amounts are capped at the lesser of: (a) the product of 20% multiplied by taxable income allocated to a “blocker” (as defined) divided by 0.8, and (b) the actual taxes payable by the “blocker” as a result of holding Senior Preferred Units.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Board Rights</w:t>
      </w:r>
    </w:p>
    <w:p>
      <w:pPr>
        <w:spacing w:after="0" w:line="11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so long as at least 140,000 Preferred Units remain outstanding, holders of the Preferred Units have the right to designate one director to the Board of the general partner, subject to approval by the general partner.</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Protective Provisions</w:t>
      </w:r>
    </w:p>
    <w:p>
      <w:pPr>
        <w:spacing w:after="0" w:line="11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OpCo LPA Amendment and the Sixth Amended and Restated Agreement of Limited Partnership of Ferrellgas Partners, L.P. (the “Amended Ferrellgas Partners LPA”) include, among other things, certain covenants for the benefit of holders of Preferred Units applicable to the operating partnership and, in certain instances, Ferrellgas Partners, for so long as at least $35 million of Preferred Units and PIK Units remain outstanding. These covenants include, among other things, limitations on (i) effecting a Change of Control, (ii) amending organizational documents, (iii) issuing certain equity securities, (iv) issuing Preferred Units, (v) filing for bankruptcy, (vi) non-ordinary course investments, and (vii) incurring certain levels of indebtedness.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Ranking and Liquidation Preference</w:t>
      </w:r>
    </w:p>
    <w:p>
      <w:pPr>
        <w:spacing w:after="0" w:line="119"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Preferred Units rank senior to any other class or series of equity interests of the operating partnership (including the partnership interests held by Ferrellgas Partners and the general partner). Upon a liquidation, dissolution or winding up of the operating partnership, each holder of Preferred Units will be entitled to receive, prior and in preference to any distribution of any assets of the operating partnership to the holders of any other class or series of equity interests in the operating partnership (including Ferrellgas Partners and the general partner), an amount per Preferred Unit equal to the Redemption Price.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Restrictions on Cash Distributions to Ferrellgas Partners and the General Partner</w:t>
      </w:r>
    </w:p>
    <w:p>
      <w:pPr>
        <w:spacing w:after="0" w:line="11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operating partnership is permitted to make distributions of Available Cash (as defined in the Amended OpCo LPA) to Ferrellgas Partners only if (i) the operating partnership has made all required Quarterly Distributions (in cash or PIK Units), Tax Distributions and payments of Additional Amounts, (ii) the operating partnership has redeemed all PIK Units issued, (iii) the operating partnership’s consolidated net leverage (defined generally to mean the ratio of the operating partnership’s consolidated total net debt (including the total redemption price of all outstanding Preferred Units and PIK Units but excluding certain letters of credit and capital lease obligations) as of each Quarterly Distribution Date to trailing four quarters consolidated EBITDA, both as adjusted for certain, specified items) is below 7.00x, net of cash, immediately before and after giving effect to such distribution, (iv) the operating partnership has at least $100 million of liquidity, consisting of unrestricted cash on hand and available capacity under the Credit Agreement or any replacement thereof, and (v) the operating partnership is in compliance with the other protective provisions in the OpCo LPA Amendment.</w:t>
      </w:r>
    </w:p>
    <w:p>
      <w:pPr>
        <w:spacing w:after="0" w:line="190" w:lineRule="exact"/>
        <w:rPr>
          <w:sz w:val="20"/>
          <w:szCs w:val="20"/>
          <w:color w:val="auto"/>
        </w:rPr>
      </w:pPr>
    </w:p>
    <w:p>
      <w:pPr>
        <w:ind w:left="360" w:hanging="310"/>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(Deficit)</w:t>
      </w:r>
    </w:p>
    <w:p>
      <w:pPr>
        <w:spacing w:after="0" w:line="229" w:lineRule="exact"/>
        <w:rPr>
          <w:rFonts w:ascii="Times New Roman" w:cs="Times New Roman" w:eastAsia="Times New Roman" w:hAnsi="Times New Roman"/>
          <w:sz w:val="18"/>
          <w:szCs w:val="18"/>
          <w:b w:val="1"/>
          <w:bCs w:val="1"/>
          <w:color w:val="auto"/>
        </w:rPr>
      </w:pPr>
    </w:p>
    <w:p>
      <w:pPr>
        <w:ind w:left="380" w:right="7299"/>
        <w:spacing w:after="0" w:line="3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u w:val="single" w:color="auto"/>
          <w:color w:val="auto"/>
        </w:rPr>
        <w:t xml:space="preserve">Ferrellgas Partners </w:t>
      </w:r>
      <w:r>
        <w:rPr>
          <w:rFonts w:ascii="Times New Roman" w:cs="Times New Roman" w:eastAsia="Times New Roman" w:hAnsi="Times New Roman"/>
          <w:sz w:val="17"/>
          <w:szCs w:val="17"/>
          <w:i w:val="1"/>
          <w:iCs w:val="1"/>
          <w:color w:val="auto"/>
        </w:rPr>
        <w:t>Class B Units</w:t>
      </w:r>
    </w:p>
    <w:p>
      <w:pPr>
        <w:spacing w:after="0" w:line="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March 30, 2021, Ferrellgas Partners issued 1.3 million Class B Units to the holders of the $357.0 million aggregate principal amount of its 8.625% senior unsecured notes due June 2020 (the “Ferrellgas Partners Notes”) in exchange for such holders’ contribution of the Ferrellgas Partners Notes to Ferrellgas Partners as a capital contribution and in satisfaction of such holders’ claims in respect of the Ferrellgas Partners Notes. The terms of the Class B Units are set forth in the Amended Ferrellgas Partners LPA entered into by the general partner on March 30, 2021.</w:t>
      </w:r>
    </w:p>
    <w:p>
      <w:pPr>
        <w:spacing w:after="0" w:line="183" w:lineRule="exact"/>
        <w:rPr>
          <w:sz w:val="20"/>
          <w:szCs w:val="20"/>
          <w:color w:val="auto"/>
        </w:rPr>
      </w:pPr>
    </w:p>
    <w:p>
      <w:pPr>
        <w:jc w:val="both"/>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On March 4, 2026, the board of directors of the general partner declared a cash distribution of $82.32 per Class B Unit, or approximately $107.0 million in the aggregate. The distribution was paid on March 13, 2026, to Class B Unitholders of record as of the close of business on March 6, 2026. Upon payment of this distribution, Ferrellgas Partners met the “Class B Conversion Threshold” as defined in the Amended Ferrellgas Partners LPA, which permitted Ferrellgas Partners to elect to convert the outstanding Class B Units into Class A Units. The board of directors of the general partner approved such election and on March 16, 2026, Ferrellgas Partners elected to convert all 1.3 million outstanding Class B Units into Class A Units, with each Class B Unit converted into five Class A Units in accordance with the Amended Ferrellgas Partners LPA. The aggregate number of Class A Units issued upon conversion of all Class B Units was 6.5 million.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Class A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April 30, 2026 and July 31, 2025, Class A Units were beneficially owned by the following:</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80" w:type="dxa"/>
            <w:vAlign w:val="bottom"/>
          </w:tcPr>
          <w:p>
            <w:pPr>
              <w:ind w:left="4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July 31, 2025</w:t>
            </w:r>
          </w:p>
        </w:tc>
      </w:tr>
      <w:tr>
        <w:trPr>
          <w:trHeight w:val="209"/>
        </w:trPr>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Public Class A Unitholders </w:t>
            </w:r>
            <w:r>
              <w:rPr>
                <w:rFonts w:ascii="Times New Roman" w:cs="Times New Roman" w:eastAsia="Times New Roman" w:hAnsi="Times New Roman"/>
                <w:sz w:val="24"/>
                <w:szCs w:val="24"/>
                <w:color w:val="auto"/>
                <w:vertAlign w:val="superscript"/>
              </w:rPr>
              <w:t>(1)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9,965,021</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3,480,621</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James E. Ferrell </w:t>
            </w:r>
            <w:r>
              <w:rPr>
                <w:rFonts w:ascii="Times New Roman" w:cs="Times New Roman" w:eastAsia="Times New Roman" w:hAnsi="Times New Roman"/>
                <w:sz w:val="25"/>
                <w:szCs w:val="25"/>
                <w:color w:val="auto"/>
                <w:vertAlign w:val="superscript"/>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253,772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238,172</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Ferrell Companies </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1,126,468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1,126,468</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FCI Trading Corp. </w:t>
            </w:r>
            <w:r>
              <w:rPr>
                <w:rFonts w:ascii="Times New Roman" w:cs="Times New Roman" w:eastAsia="Times New Roman" w:hAnsi="Times New Roman"/>
                <w:sz w:val="25"/>
                <w:szCs w:val="25"/>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9,784</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Ferrell Propane, Inc. </w:t>
            </w:r>
            <w:r>
              <w:rPr>
                <w:rFonts w:ascii="Times New Roman" w:cs="Times New Roman" w:eastAsia="Times New Roman" w:hAnsi="Times New Roman"/>
                <w:sz w:val="25"/>
                <w:szCs w:val="25"/>
                <w:color w:val="auto"/>
                <w:vertAlign w:val="superscript"/>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09"/>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11,357,605</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4,857,605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67" w:lineRule="exact"/>
        <w:rPr>
          <w:sz w:val="20"/>
          <w:szCs w:val="20"/>
          <w:color w:val="auto"/>
        </w:rPr>
      </w:pPr>
    </w:p>
    <w:p>
      <w:pPr>
        <w:ind w:left="380" w:right="79" w:hanging="330"/>
        <w:spacing w:after="0" w:line="298"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Class A Units are traded on the OTC Market under the symbol “FGPR.” As described above, all 1.3 million Class B Units were converted into 6.5 million aggregate Class A Units on March 16, 2026.</w:t>
      </w:r>
    </w:p>
    <w:p>
      <w:pPr>
        <w:spacing w:after="0" w:line="2" w:lineRule="exact"/>
        <w:rPr>
          <w:rFonts w:ascii="Times New Roman" w:cs="Times New Roman" w:eastAsia="Times New Roman" w:hAnsi="Times New Roman"/>
          <w:sz w:val="16"/>
          <w:szCs w:val="16"/>
          <w:color w:val="auto"/>
        </w:rPr>
      </w:pPr>
    </w:p>
    <w:p>
      <w:pPr>
        <w:jc w:val="both"/>
        <w:ind w:left="380" w:right="79" w:hanging="330"/>
        <w:spacing w:after="0" w:line="271"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August 5, 2024, James E. Ferrell was appointed to serve as Chairman of the Board of Directors of our general partner. He is a related party. JEF Capital Management owns 237,942 of these Class A Units and is owned by the James E. Ferrell Revocable Trust Two and other family trusts, all of which James E. Ferrell and/or his family members are the trustees and beneficiaries. James E. Ferrell holds all voting common stock of JEF Capital Management. Ferrell Resources Holdings, Inc., which is wholly owned by the James E. Ferrell Revocable Trust One, holds 230 Class A Units, for which James E. Ferrell is the trustee and sole beneficiary. Additionally, 15,600 Class A Units are directly held by Mr. Ferrell in IRA accounts.</w:t>
      </w:r>
    </w:p>
    <w:p>
      <w:pPr>
        <w:spacing w:after="0" w:line="22" w:lineRule="exact"/>
        <w:rPr>
          <w:rFonts w:ascii="Times New Roman" w:cs="Times New Roman" w:eastAsia="Times New Roman" w:hAnsi="Times New Roman"/>
          <w:sz w:val="16"/>
          <w:szCs w:val="16"/>
          <w:color w:val="auto"/>
        </w:rPr>
      </w:pPr>
    </w:p>
    <w:p>
      <w:pPr>
        <w:jc w:val="both"/>
        <w:ind w:left="380" w:right="79" w:hanging="330"/>
        <w:spacing w:after="0" w:line="276"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Ferrell Companies is the owner of the general partner and an approximate 9.9% direct owner of Ferrellgas Partners’ Class A Units and thus a related party. Ferrell Companies also beneficially owns 9,784 and 2,560 Class A Units of Ferrellgas Partners held by FCI Trading Corp. (“FCI Trading”) and Ferrell Propane, Inc.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Ferrell Propane"), respectively, bringing Ferrell Companies’ total beneficial ownership of Class A Units to 10.0%.</w:t>
      </w:r>
    </w:p>
    <w:p>
      <w:pPr>
        <w:spacing w:after="0" w:line="17"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FCI Trading is an affiliate of the general partner and thus a related party.</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Ferrell Propane is controlled by the general partner and thus a related party.</w:t>
      </w:r>
    </w:p>
    <w:p>
      <w:pPr>
        <w:spacing w:after="0" w:line="23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Together these Class A Units represent (i) a 99.6% limited partner economic interest in Ferrellgas Partners and (ii) an effective 98.6% economic interest in the operating partnership, excluding the economic interests attributable to the Preferred Units as of April 30, 2026. In liquidation, allocations and distributions will be made in accordance with each Class A Unitholder’s positive capital account.</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Class A Units of Ferrellgas Partners represent limited partner interests in Ferrellgas Partners, which give the holders thereof the right to participate in distributions made by Ferrellgas Partners, subject to the rights of holders of Class B Units, and to exercise the other rights or privileges available to such holders under the Amended Ferrellgas Partners LPA. Under the terms of the Amended Ferrellgas Partners LPA, holders of Class A Units have limited voting rights on matters affecting the business of Ferrellgas Partners. Generally, persons or groups owning 20% or more of Ferrellgas Partners’ outstanding Class A Units cannot vote any of their Class A Units in excess of the 20% threshold. However, this limitation does not apply under certain circumstances and does not apply to Class A Units owned by Ferrell Companies, our general partner and its affiliates. Furthermore, this limitation expired on March 30, 2026, as the conversion of the Class B Units to Class A Units occurred on March 16, 2026.</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Amended Ferrellgas Partners LPA allows the general partner to issue an unlimited number of additional general and limited partner interests of Ferrellgas Partners for such consideration and on such terms and conditions as shall be established by the general partner without the approval of any Class A Unitholders.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Ferrellgas Partners did not declare or pay any distributions to its Class A Unitholders or the general partner during the nine months ended April 30, 2026 and 2025. On March 16, 2026, Ferrellgas Partners made a cash distribution in the aggregate amount of approximately $107.0 million to its Class B Unitholders. See above for additional information. No distributions were paid to Class B Unitholders during the nine months ended April 30, 2025.</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Partners made aggregate cash distributions of approximately $357.0 million to its Class B Unitholders since inception of its Class B Units in fiscal 2022. See Note M “Net (loss) earnings per unitholders’ interest”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operating partnership has recognized the following distributions: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8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9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420" w:type="dxa"/>
            <w:vAlign w:val="bottom"/>
            <w:gridSpan w:val="2"/>
          </w:tcPr>
          <w:p>
            <w:pPr>
              <w:jc w:val="center"/>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Ferrellgas Partners</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$ 107,016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additional discussions about transactions with related parties in Note J “Transactions with related parties.”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(“AOCI”)</w:t>
      </w:r>
    </w:p>
    <w:p>
      <w:pPr>
        <w:spacing w:after="0" w:line="11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See Note I “Derivative instruments and hedging activities” for details regarding changes in fair value on risk management financial derivatives recorded within AOCI for the three and nine months ended April 30, 2026 and 2025.</w:t>
      </w:r>
    </w:p>
    <w:p>
      <w:pPr>
        <w:spacing w:after="0" w:line="171" w:lineRule="exact"/>
        <w:rPr>
          <w:sz w:val="20"/>
          <w:szCs w:val="20"/>
          <w:color w:val="auto"/>
        </w:rPr>
      </w:pPr>
    </w:p>
    <w:p>
      <w:pPr>
        <w:ind w:left="420" w:hanging="370"/>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Ferrellgas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9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76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90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$ 369,773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$ 1,025,412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9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397,676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Sales</w:t>
            </w:r>
          </w:p>
        </w:tc>
        <w:tc>
          <w:tcPr>
            <w:tcW w:w="9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Propane and related equipment revenues</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$ 524,559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560,847</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$ 1,521,162</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1,594,708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Ferrellgas’ performance obligations are generally limited to the delivery of propane for its retail and wholesale contracts. Ferrellgas’ performance obligations with respect to sales of appliances and other materials and other revenues are limited to the delivery of the agreed upon good or service. Ferrellgas does not have material performance obligations that are delivered over time, thus all of its revenue is recognized at the time the goods, including propane, are delivered or installed. Ferrellgas offers “even pay” and other billing programs that can create customer deposits or advances, depending on whether Ferrellgas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Ferrellgas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we do not capitalize these costs.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opening and closing balances of our contract assets and contract liabilities: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40" w:type="dxa"/>
            <w:vAlign w:val="bottom"/>
            <w:vMerge w:val="restart"/>
          </w:tcPr>
          <w:p>
            <w:pPr>
              <w:ind w:left="39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5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 xml:space="preserve">Deferred revenue </w:t>
            </w:r>
            <w:r>
              <w:rPr>
                <w:rFonts w:ascii="Times New Roman" w:cs="Times New Roman" w:eastAsia="Times New Roman" w:hAnsi="Times New Roman"/>
                <w:sz w:val="25"/>
                <w:szCs w:val="25"/>
                <w:color w:val="auto"/>
                <w:vertAlign w:val="superscript"/>
              </w:rPr>
              <w:t>(1)</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380" w:right="79" w:hanging="330"/>
        <w:spacing w:after="0" w:line="281" w:lineRule="auto"/>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beginning balance of deferred revenue, $29.6 million and $35.2 million was recognized as revenue during the nine months ended April 30, 2026 and 2025, respectively. The unrecognized balance relates to even-pay billing amounts, for which revenue is typically fully recognized in the following fiscal year and varies primarily due to weather conditions and customer orders.</w:t>
      </w:r>
    </w:p>
    <w:p>
      <w:pPr>
        <w:spacing w:after="0" w:line="23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remaining performance obligations are generally limited to situations where customers have remitted payment but have not yet received deliveries of propane. This most commonly occurs in even pay billing programs and Ferrellgas expects that these balances will be recognized within a year or less as the customer takes delivery of propane.</w:t>
      </w:r>
    </w:p>
    <w:p>
      <w:pPr>
        <w:spacing w:after="0" w:line="172" w:lineRule="exact"/>
        <w:rPr>
          <w:sz w:val="20"/>
          <w:szCs w:val="20"/>
          <w:color w:val="auto"/>
        </w:rPr>
      </w:pPr>
    </w:p>
    <w:p>
      <w:pPr>
        <w:ind w:left="420" w:hanging="370"/>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Ferrellgas’ financial assets and financial liabilities that are measured at fair value on a recurring basis for each of the fair value hierarchy levels, including both current and noncurrent portions, as of April 30, 2026 and July 31, 2025:</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3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 and Liabilities</w:t>
            </w:r>
          </w:p>
        </w:tc>
        <w:tc>
          <w:tcPr>
            <w:tcW w:w="136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Methodology</w:t>
      </w:r>
    </w:p>
    <w:p>
      <w:pPr>
        <w:spacing w:after="0" w:line="11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Ferrellgas’ non-exchange traded commodity derivative contracts are based upon indicative price quotations available through brokers, industry price publications or recent market transactions and related market indicators. There were no transfers between Levels 1, 2 or 3 during the nine months ended April 30, 2026 and the fiscal year ended July 31, 2025.</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11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carrying amounts of other financial instruments included in current assets and current liabilities (except for current maturities of long-term debt) approximate their fair values because of their short-term nature. At April 30, 2026 and July 31, 2025, the estimated fair value of Ferrellgas’ long-term debt instruments was $1,483.1 million and $1,404.9 million, respectively. Ferrellgas estimates the fair value of long-term debt based on quoted market prices. The fair value of Ferrellgas’ consolidated debt obligations is a Level 2 valuation based on the observable inputs used for similar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L “Unit-Based Compensation”. Ferrellgas accrues for vested phantom units as a liability and adjusts that liability on a recurring basis based on the average market price of its Class A units for the ten trading days preceding each balance sheet date, which is a Level 1 valuation based on the observable inputs for quoted market prices.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72" w:lineRule="exact"/>
        <w:rPr>
          <w:sz w:val="20"/>
          <w:szCs w:val="20"/>
          <w:color w:val="auto"/>
        </w:rPr>
      </w:pPr>
    </w:p>
    <w:p>
      <w:pPr>
        <w:ind w:left="340" w:hanging="290"/>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Ferrellgas is exposed to certain market risks related to its ongoing business operations. These risks include exposure to changing commodity prices as well as fluctuations in interest rates. Ferrellgas utilizes derivative instruments to manage its exposure to fluctuations in commodity prices. Of these, the propane commodity derivative instruments are designated as cash flow hedges. The change in fair value of commodity derivatives not designated as hedges is recorded in earnings.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April 30, 2026 and 2025, Ferrellgas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the fair value of derivatives within Ferrellgas’ condensed consolidated balance sheets as of April 30, 2026 and July 31,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960" w:type="dxa"/>
            <w:vAlign w:val="bottom"/>
          </w:tcPr>
          <w:p>
            <w:pPr>
              <w:spacing w:after="0"/>
              <w:rPr>
                <w:sz w:val="15"/>
                <w:szCs w:val="15"/>
                <w:color w:val="auto"/>
              </w:rPr>
            </w:pPr>
          </w:p>
        </w:tc>
        <w:tc>
          <w:tcPr>
            <w:tcW w:w="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4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Asset Derivatives</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6"/>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40" w:type="dxa"/>
            <w:vAlign w:val="bottom"/>
          </w:tcPr>
          <w:p>
            <w:pPr>
              <w:spacing w:after="0"/>
              <w:rPr>
                <w:sz w:val="12"/>
                <w:szCs w:val="12"/>
                <w:color w:val="auto"/>
              </w:rPr>
            </w:pPr>
          </w:p>
        </w:tc>
        <w:tc>
          <w:tcPr>
            <w:tcW w:w="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40" w:type="dxa"/>
            <w:vAlign w:val="bottom"/>
          </w:tcPr>
          <w:p>
            <w:pPr>
              <w:spacing w:after="0"/>
              <w:rPr>
                <w:sz w:val="12"/>
                <w:szCs w:val="12"/>
                <w:color w:val="auto"/>
              </w:rPr>
            </w:pPr>
          </w:p>
        </w:tc>
        <w:tc>
          <w:tcPr>
            <w:tcW w:w="196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2"/>
                <w:szCs w:val="12"/>
                <w:color w:val="auto"/>
              </w:rPr>
            </w:pPr>
          </w:p>
        </w:tc>
        <w:tc>
          <w:tcPr>
            <w:tcW w:w="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4"/>
            <w:shd w:val="clear" w:color="auto" w:fill="CCEEFF"/>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December 2027</w:t>
            </w:r>
          </w:p>
        </w:tc>
        <w:tc>
          <w:tcPr>
            <w:tcW w:w="1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 - propane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3"/>
          </w:tcPr>
          <w:p>
            <w:pPr>
              <w:ind w:left="102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$ 12,851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$ 5,263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 - propane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1020"/>
              <w:spacing w:after="0" w:line="198" w:lineRule="exact"/>
              <w:rPr>
                <w:sz w:val="20"/>
                <w:szCs w:val="20"/>
                <w:color w:val="auto"/>
              </w:rPr>
            </w:pPr>
            <w:r>
              <w:rPr>
                <w:rFonts w:ascii="Times New Roman" w:cs="Times New Roman" w:eastAsia="Times New Roman" w:hAnsi="Times New Roman"/>
                <w:sz w:val="18"/>
                <w:szCs w:val="18"/>
                <w:color w:val="auto"/>
              </w:rPr>
              <w:t>Other assets, net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July 2026</w:t>
            </w: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 - vehicle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102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fuel</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$ 14,425</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960" w:type="dxa"/>
            <w:vAlign w:val="bottom"/>
            <w:tcBorders>
              <w:bottom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Asset Derivatives</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40" w:type="dxa"/>
            <w:vAlign w:val="bottom"/>
          </w:tcPr>
          <w:p>
            <w:pPr>
              <w:spacing w:after="0"/>
              <w:rPr>
                <w:sz w:val="12"/>
                <w:szCs w:val="12"/>
                <w:color w:val="auto"/>
              </w:rPr>
            </w:pPr>
          </w:p>
        </w:tc>
        <w:tc>
          <w:tcPr>
            <w:tcW w:w="2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960" w:type="dxa"/>
            <w:vAlign w:val="bottom"/>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8"/>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4"/>
                <w:szCs w:val="14"/>
                <w:color w:val="auto"/>
              </w:rPr>
              <w:t xml:space="preserve"> ​​​</w:t>
            </w:r>
          </w:p>
        </w:tc>
        <w:tc>
          <w:tcPr>
            <w:tcW w:w="10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00" w:type="dxa"/>
            <w:vAlign w:val="bottom"/>
            <w:tcBorders>
              <w:top w:val="single" w:sz="8" w:color="auto"/>
            </w:tcBorders>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gridSpan w:val="3"/>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December 2026</w:t>
            </w:r>
          </w:p>
        </w:tc>
        <w:tc>
          <w:tcPr>
            <w:tcW w:w="1960" w:type="dxa"/>
            <w:vAlign w:val="bottom"/>
            <w:tcBorders>
              <w:top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 - propane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Prepaid expenses and other</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$ 3,244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 - propane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assets, net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$ 3,570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$ 3,654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Ferrellgas’ exchange traded commodity derivative contracts require a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for contracts that are in a positive mark-to-market position.</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provide a summary of cash margin balances as of April 30, 2026 and July 31, 2025:</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7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7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80" w:type="dxa"/>
            <w:vAlign w:val="bottom"/>
            <w:tcBorders>
              <w:top w:val="single" w:sz="8" w:color="auto"/>
            </w:tcBorders>
            <w:gridSpan w:val="3"/>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Margin Balances</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Prepaid expense and other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Other current</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$ 3,402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7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Margin Balances</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Prepaid expense and other</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Other current</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of the effect on Ferrellgas’ condensed consolidated statements of comprehensive income for the three and nine months ended April 30, 2026 and 2025 due to derivatives designated as cash flow hedging instruments: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For the three months ended April 30, 2026</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3"/>
          </w:tcPr>
          <w:p>
            <w:pPr>
              <w:jc w:val="center"/>
              <w:ind w:left="85"/>
              <w:spacing w:after="0" w:line="118" w:lineRule="exact"/>
              <w:rPr>
                <w:sz w:val="20"/>
                <w:szCs w:val="20"/>
                <w:color w:val="auto"/>
              </w:rPr>
            </w:pPr>
            <w:r>
              <w:rPr>
                <w:rFonts w:ascii="Times New Roman" w:cs="Times New Roman" w:eastAsia="Times New Roman" w:hAnsi="Times New Roman"/>
                <w:sz w:val="13"/>
                <w:szCs w:val="13"/>
                <w:b w:val="1"/>
                <w:bCs w:val="1"/>
                <w:color w:val="auto"/>
              </w:rPr>
              <w:t>Amount of Loss</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AOCI</w:t>
            </w:r>
          </w:p>
        </w:tc>
        <w:tc>
          <w:tcPr>
            <w:tcW w:w="3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Effective portion</w:t>
            </w: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16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40" w:type="dxa"/>
            <w:vAlign w:val="bottom"/>
            <w:shd w:val="clear" w:color="auto" w:fill="CCEEFF"/>
          </w:tcPr>
          <w:p>
            <w:pPr>
              <w:spacing w:after="0"/>
              <w:rPr>
                <w:sz w:val="16"/>
                <w:szCs w:val="16"/>
                <w:color w:val="auto"/>
              </w:rPr>
            </w:pPr>
          </w:p>
        </w:tc>
        <w:tc>
          <w:tcPr>
            <w:tcW w:w="160" w:type="dxa"/>
            <w:vAlign w:val="bottom"/>
            <w:tcBorders>
              <w:right w:val="single" w:sz="8" w:color="CCEEFF"/>
            </w:tcBorders>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vMerge w:val="continue"/>
            <w:shd w:val="clear" w:color="auto" w:fill="CCEEFF"/>
          </w:tcPr>
          <w:p>
            <w:pPr>
              <w:spacing w:after="0"/>
              <w:rPr>
                <w:sz w:val="16"/>
                <w:szCs w:val="16"/>
                <w:color w:val="auto"/>
              </w:rPr>
            </w:pPr>
          </w:p>
        </w:tc>
        <w:tc>
          <w:tcPr>
            <w:tcW w:w="2160" w:type="dxa"/>
            <w:vAlign w:val="bottom"/>
            <w:tcBorders>
              <w:left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Cost of sales - propane and</w:t>
            </w:r>
          </w:p>
        </w:tc>
        <w:tc>
          <w:tcPr>
            <w:tcW w:w="160" w:type="dxa"/>
            <w:vAlign w:val="bottom"/>
            <w:tcBorders>
              <w:right w:val="single" w:sz="8" w:color="CCEEFF"/>
            </w:tcBorders>
            <w:vMerge w:val="restart"/>
            <w:shd w:val="clear" w:color="auto" w:fill="CCEEFF"/>
          </w:tcPr>
          <w:p>
            <w:pPr>
              <w:spacing w:after="0"/>
              <w:rPr>
                <w:sz w:val="16"/>
                <w:szCs w:val="16"/>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8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liquids sales</w:t>
            </w:r>
          </w:p>
        </w:tc>
        <w:tc>
          <w:tcPr>
            <w:tcW w:w="160" w:type="dxa"/>
            <w:vAlign w:val="bottom"/>
            <w:tcBorders>
              <w:right w:val="single" w:sz="8" w:color="CCEEFF"/>
            </w:tcBorders>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For the three months ended April 30,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3"/>
          </w:tcPr>
          <w:p>
            <w:pPr>
              <w:jc w:val="center"/>
              <w:ind w:left="105"/>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63"/>
              <w:spacing w:after="0" w:line="142" w:lineRule="exact"/>
              <w:rPr>
                <w:sz w:val="20"/>
                <w:szCs w:val="20"/>
                <w:color w:val="auto"/>
              </w:rPr>
            </w:pPr>
            <w:r>
              <w:rPr>
                <w:rFonts w:ascii="Times New Roman" w:cs="Times New Roman" w:eastAsia="Times New Roman" w:hAnsi="Times New Roman"/>
                <w:sz w:val="14"/>
                <w:szCs w:val="14"/>
                <w:b w:val="1"/>
                <w:bCs w:val="1"/>
                <w:color w:val="auto"/>
                <w:w w:val="98"/>
              </w:rPr>
              <w:t>AOCI</w:t>
            </w:r>
          </w:p>
        </w:tc>
        <w:tc>
          <w:tcPr>
            <w:tcW w:w="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Effective portion</w:t>
            </w: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4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6"/>
                <w:szCs w:val="16"/>
                <w:color w:val="auto"/>
              </w:rPr>
            </w:pPr>
          </w:p>
        </w:tc>
        <w:tc>
          <w:tcPr>
            <w:tcW w:w="2160" w:type="dxa"/>
            <w:vAlign w:val="bottom"/>
            <w:tcBorders>
              <w:left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Cost of sales - propane and</w:t>
            </w:r>
          </w:p>
        </w:tc>
        <w:tc>
          <w:tcPr>
            <w:tcW w:w="4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880" w:type="dxa"/>
            <w:vAlign w:val="bottom"/>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26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liquids sales</w:t>
            </w:r>
          </w:p>
        </w:tc>
        <w:tc>
          <w:tcPr>
            <w:tcW w:w="420" w:type="dxa"/>
            <w:vAlign w:val="bottom"/>
            <w:gridSpan w:val="2"/>
            <w:vMerge w:val="continue"/>
            <w:shd w:val="clear" w:color="auto" w:fill="CCEEFF"/>
          </w:tcPr>
          <w:p>
            <w:pPr>
              <w:spacing w:after="0"/>
              <w:rPr>
                <w:sz w:val="19"/>
                <w:szCs w:val="19"/>
                <w:color w:val="auto"/>
              </w:rPr>
            </w:pPr>
          </w:p>
        </w:tc>
        <w:tc>
          <w:tcPr>
            <w:tcW w:w="78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For the nine months ended April 30, 2026</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3"/>
          </w:tcPr>
          <w:p>
            <w:pPr>
              <w:jc w:val="center"/>
              <w:ind w:left="85"/>
              <w:spacing w:after="0" w:line="118" w:lineRule="exact"/>
              <w:rPr>
                <w:sz w:val="20"/>
                <w:szCs w:val="20"/>
                <w:color w:val="auto"/>
              </w:rPr>
            </w:pPr>
            <w:r>
              <w:rPr>
                <w:rFonts w:ascii="Times New Roman" w:cs="Times New Roman" w:eastAsia="Times New Roman" w:hAnsi="Times New Roman"/>
                <w:sz w:val="13"/>
                <w:szCs w:val="13"/>
                <w:b w:val="1"/>
                <w:bCs w:val="1"/>
                <w:color w:val="auto"/>
              </w:rPr>
              <w:t>Amount of Loss</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AOCI</w:t>
            </w:r>
          </w:p>
        </w:tc>
        <w:tc>
          <w:tcPr>
            <w:tcW w:w="3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Effective portion</w:t>
            </w: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40" w:type="dxa"/>
            <w:vAlign w:val="bottom"/>
            <w:shd w:val="clear" w:color="auto" w:fill="CCEEFF"/>
          </w:tcPr>
          <w:p>
            <w:pPr>
              <w:spacing w:after="0"/>
              <w:rPr>
                <w:sz w:val="16"/>
                <w:szCs w:val="16"/>
                <w:color w:val="auto"/>
              </w:rPr>
            </w:pPr>
          </w:p>
        </w:tc>
        <w:tc>
          <w:tcPr>
            <w:tcW w:w="160" w:type="dxa"/>
            <w:vAlign w:val="bottom"/>
            <w:tcBorders>
              <w:right w:val="single" w:sz="8" w:color="CCEEFF"/>
            </w:tcBorders>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6"/>
                <w:szCs w:val="16"/>
                <w:color w:val="auto"/>
              </w:rPr>
            </w:pPr>
          </w:p>
        </w:tc>
        <w:tc>
          <w:tcPr>
            <w:tcW w:w="2160" w:type="dxa"/>
            <w:vAlign w:val="bottom"/>
            <w:tcBorders>
              <w:left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Cost of sales - propane and</w:t>
            </w:r>
          </w:p>
        </w:tc>
        <w:tc>
          <w:tcPr>
            <w:tcW w:w="4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88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liquids sales</w:t>
            </w:r>
          </w:p>
        </w:tc>
        <w:tc>
          <w:tcPr>
            <w:tcW w:w="420" w:type="dxa"/>
            <w:vAlign w:val="bottom"/>
            <w:gridSpan w:val="2"/>
            <w:vMerge w:val="continue"/>
            <w:shd w:val="clear" w:color="auto" w:fill="CCEEFF"/>
          </w:tcPr>
          <w:p>
            <w:pPr>
              <w:spacing w:after="0"/>
              <w:rPr>
                <w:sz w:val="19"/>
                <w:szCs w:val="19"/>
                <w:color w:val="auto"/>
              </w:rPr>
            </w:pPr>
          </w:p>
        </w:tc>
        <w:tc>
          <w:tcPr>
            <w:tcW w:w="78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For the nine months ended April 30,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3"/>
          </w:tcPr>
          <w:p>
            <w:pPr>
              <w:jc w:val="center"/>
              <w:ind w:left="105"/>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63"/>
              <w:spacing w:after="0" w:line="142" w:lineRule="exact"/>
              <w:rPr>
                <w:sz w:val="20"/>
                <w:szCs w:val="20"/>
                <w:color w:val="auto"/>
              </w:rPr>
            </w:pPr>
            <w:r>
              <w:rPr>
                <w:rFonts w:ascii="Times New Roman" w:cs="Times New Roman" w:eastAsia="Times New Roman" w:hAnsi="Times New Roman"/>
                <w:sz w:val="14"/>
                <w:szCs w:val="14"/>
                <w:b w:val="1"/>
                <w:bCs w:val="1"/>
                <w:color w:val="auto"/>
                <w:w w:val="98"/>
              </w:rPr>
              <w:t>AOCI</w:t>
            </w:r>
          </w:p>
        </w:tc>
        <w:tc>
          <w:tcPr>
            <w:tcW w:w="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​Effective portion</w:t>
            </w: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4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shd w:val="clear" w:color="auto" w:fill="CCEEFF"/>
          </w:tcPr>
          <w:p>
            <w:pPr>
              <w:spacing w:after="0"/>
              <w:rPr>
                <w:sz w:val="16"/>
                <w:szCs w:val="16"/>
                <w:color w:val="auto"/>
              </w:rPr>
            </w:pPr>
          </w:p>
        </w:tc>
        <w:tc>
          <w:tcPr>
            <w:tcW w:w="2160" w:type="dxa"/>
            <w:vAlign w:val="bottom"/>
            <w:tcBorders>
              <w:left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Cost of sales - propane and</w:t>
            </w:r>
          </w:p>
        </w:tc>
        <w:tc>
          <w:tcPr>
            <w:tcW w:w="4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880" w:type="dxa"/>
            <w:vAlign w:val="bottom"/>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26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liquids sales</w:t>
            </w:r>
          </w:p>
        </w:tc>
        <w:tc>
          <w:tcPr>
            <w:tcW w:w="420" w:type="dxa"/>
            <w:vAlign w:val="bottom"/>
            <w:gridSpan w:val="2"/>
            <w:vMerge w:val="continue"/>
            <w:shd w:val="clear" w:color="auto" w:fill="CCEEFF"/>
          </w:tcPr>
          <w:p>
            <w:pPr>
              <w:spacing w:after="0"/>
              <w:rPr>
                <w:sz w:val="19"/>
                <w:szCs w:val="19"/>
                <w:color w:val="auto"/>
              </w:rPr>
            </w:pPr>
          </w:p>
        </w:tc>
        <w:tc>
          <w:tcPr>
            <w:tcW w:w="78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derivatives included in AOCI for the nine months ended April 30, 2026 and 2025 were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Gains and losses on derivatives included in AOCI</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attributable to Ferrellgas Partners, L.P.</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commodity derivatives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of losses (gains) on commodity hedges to cost of sales - propane and</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gas liquids sales, net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amount attributable to noncontrolling interests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attributable to Ferrellgas Partners, L.P.</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derivatives included in AOCI for the nine months ended April 30, 2026 and 2025 were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Gains and losses on derivatives included in AOCI</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3"/>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commodity derivatives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of losses (gains) on commodity hedges to cost of sales - propane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other gas liquids sales, net</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00" w:type="dxa"/>
            <w:vAlign w:val="bottom"/>
            <w:gridSpan w:val="2"/>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expects to reclassify net gains of approximately $7.6 million to earnings during the next 12 months. These net gains are expected to be offset by decreased margins on propane sales commitments Ferrellgas has with its customers that qualify for the normal purchase normal sale exception.</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April 30, 2026 and 2025, Ferrellgas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April 30, 2026, Ferrellgas had financial derivative contracts covering 1.8 million barrels of propane that were entered into as cash flow hedges of forward and forecasted purchases of propane.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Derivative financial instruments credit risk</w:t>
      </w:r>
    </w:p>
    <w:p>
      <w:pPr>
        <w:spacing w:after="0" w:line="11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Ferrellgas is exposed to credit loss in the event of nonperformance by counterparties to derivative financial and commodity instruments. Ferrellgas’ counterparties principally consist of major energy companies and major U.S. financial institutions. Ferrellgas maintains credit policies with regard to its counterparties that it believes reduces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in the forms of letters of credit, parent guarantees or cash. Ferrellgas has concentrations of credit risk associated with derivative financial instruments held by certain derivative financial instrument counterparties. If these counterparties that make up the concentration failed to perform according to the terms of their contracts at April 30, 2026, the maximum loss due to credit risk that Ferrellgas would incur based upon the gross fair values of the derivative financial instruments is zero.</w:t>
      </w:r>
    </w:p>
    <w:p>
      <w:pPr>
        <w:spacing w:after="0" w:line="194"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Ferrellgas enters into derivative contracts that have credit-risk-related contingent features which dictate credit limits based upon Ferrellgas’ debt rating. There were no open derivative contracts with credit-risk-related contingent features as of April 30, 2026.</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Transactions with related parties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Ferrellgas has no employees and is managed and controlled by its general partner. Pursuant to Ferrellgas’ partnership agreements, the general partner is entitled to reimbursement for all direct and indirect expenses incurred or payments it makes on behalf of Ferrellgas and all other necessary or appropriate expenses allocable to Ferrellgas or otherwise reasonably incurred by its general partner in connection with operating Ferrellgas’ business. These costs primarily include compensation and benefits paid to employees of the general partner who perform services on Ferrellgas’ behalf and are reported in the condensed consolidated statements of operations as follows:</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60" w:type="dxa"/>
            <w:vAlign w:val="bottom"/>
            <w:vMerge w:val="restart"/>
          </w:tcPr>
          <w:p>
            <w:pPr>
              <w:ind w:left="3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three months ended April 30,</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gridSpan w:val="2"/>
          </w:tcPr>
          <w:p>
            <w:pPr>
              <w:jc w:val="right"/>
              <w:ind w:right="2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5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additional discussions about transactions with related parties in Note F “Equity (Deficit).”</w:t>
      </w:r>
    </w:p>
    <w:p>
      <w:pPr>
        <w:spacing w:after="0" w:line="221"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Contingencies and commitments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Ferrellgas’ policy is to expense litigation costs as incurred. Ferrellgas’ operations are subject to all operating hazards and risks normally incidental to the handling, storing, transporting and otherwise providing for use by consumers of combustible liquids such as propane. As a result, at any given time, we can be threatened with or named as a defendant in various lawsuits arising in the ordinary course of business. We are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our consolidated financial condition, results of operations and cash flows.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Long-term debt related commitments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Ferrellgas has long and short-term payment obligations under agreements such as the indentures governing its senior notes. See Note D “Debt” for a description of these debt obligations and a schedule of future maturities.</w:t>
      </w:r>
    </w:p>
    <w:p>
      <w:pPr>
        <w:spacing w:after="0" w:line="158" w:lineRule="exact"/>
        <w:rPr>
          <w:sz w:val="20"/>
          <w:szCs w:val="20"/>
          <w:color w:val="auto"/>
        </w:rPr>
      </w:pPr>
    </w:p>
    <w:p>
      <w:pPr>
        <w:ind w:left="400" w:hanging="350"/>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Unit-Based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Non-Employee Director Phantom Unit Plan</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Board adopted the Non-Employee Director Phantom Unit Plan (“Phantom Plan”) in June 2025. Under the terms of the Phantom Plan, the Board’s Compensation Committee may grant Phantom Unit awards annually to non-employee Directors for the right to receive cash compensation, once vested, equal to the fair market value of the Company’s Class A Units, subject to any maximum payment value the Compensation Committee may set.</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Once vested, the grants will be paid on the first to occur of (i) termination of service without cause, (ii) a change of control, or (iii) the third anniversary of the grant date. The 2026 and 2025 grants are subject to an aggregate maximum payment value of $3.0 million and $2.6 million, respectively. The Company added an additional director in fiscal 2026.</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Grants awarded subsequent to fiscal 2025 will vest 100% on the first anniversary of the grant date or upon the grantee’s death (if before). Once vested, awards will be paid as noted above. In the event a grantee terminates his or her services as a director, unvested awards will be forfeited. In the event a grantee’s services terminate for cause, both vested and unvested awards will be forfeited.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related to the Phantom Plan as of April 30, 2026:</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Phantom Units</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Outstanding, July 31, 2025 </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89,103</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5"/>
                <w:szCs w:val="25"/>
                <w:color w:val="auto"/>
                <w:vertAlign w:val="superscript"/>
              </w:rPr>
              <w:t>(2)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April 30, 2026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152,343</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w:t>
            </w: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July 2025 grants vested September 25, 2025.</w:t>
      </w:r>
    </w:p>
    <w:p>
      <w:pPr>
        <w:spacing w:after="0" w:line="5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October 2025 and January 2026 grants will vest on October 9, 2026.</w:t>
      </w:r>
    </w:p>
    <w:p>
      <w:pPr>
        <w:spacing w:after="0" w:line="23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of April 30, 2026 and July 31, 2025, we recognized non-cash compensation expense of $2.9 million and $0.4 million, respectively, for the grants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 of April 30, 2026, the 2025 grants of 89,103 are fully vested. The 2026 grants have a weighted-average remaining contractual term of 0.46 years for vesting purposes as of April 30, 2026. The fair value of each grant is estimated on each balance sheet date using the average closing price of one Class A Unit for the ten trading days preceding the applicable measurement date as quoted on the OTC market, per the Phantom Plan. The grants have a fair value of $26.34 per unit as of April 30, 2026.</w:t>
      </w:r>
    </w:p>
    <w:p>
      <w:pPr>
        <w:spacing w:after="0" w:line="185" w:lineRule="exact"/>
        <w:rPr>
          <w:sz w:val="20"/>
          <w:szCs w:val="20"/>
          <w:color w:val="auto"/>
        </w:rPr>
      </w:pPr>
    </w:p>
    <w:p>
      <w:pPr>
        <w:ind w:left="440" w:hanging="390"/>
        <w:spacing w:after="0"/>
        <w:tabs>
          <w:tab w:leader="none" w:pos="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earnings per unitholders’ interest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Below is a calculation of the basic and diluted net (loss) earnings per Class A Unitholders’ interest in the condensed consolidated statements of operations for the periods indicated:</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vMerge w:val="continue"/>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 except</w:t>
            </w:r>
          </w:p>
        </w:tc>
        <w:tc>
          <w:tcPr>
            <w:tcW w:w="102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89"/>
              </w:rPr>
              <w:t>per unit amounts)</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Ferrellgas Partners, L.P.</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w:t>
            </w:r>
          </w:p>
        </w:tc>
        <w:tc>
          <w:tcPr>
            <w:tcW w:w="3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Distributions to preferred unitholders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Distributions to Class B unitholders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Allocation of undistributed net earnings to Class B units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General partner’s interest in net earnings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Undistributed net (loss) earnings attributable to Class A</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(94,867)</w:t>
            </w:r>
          </w:p>
        </w:tc>
        <w:tc>
          <w:tcPr>
            <w:tcW w:w="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36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unitholders</w:t>
            </w:r>
          </w:p>
        </w:tc>
        <w:tc>
          <w:tcPr>
            <w:tcW w:w="32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60" w:type="dxa"/>
            <w:vAlign w:val="bottom"/>
            <w:gridSpan w:val="3"/>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Class A Units outstanding (in thousands)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8,217.2</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4,857.6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5,977.5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4,857.6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earnings per Class A Unit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Class B Units considerations</w:t>
      </w:r>
    </w:p>
    <w:p>
      <w:pPr>
        <w:spacing w:after="0" w:line="11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Class B Units met the definition of a participating security, and the two-class method was required. For any periods in which earnings were recognized, the earnings were first allocated 100% to the Class B Units until the allocation equaled the cumulative amount of all distributions paid to the Class B Units. Any remaining undistributed net earnings were allocated between the Class B Units and the Class A Units on a six-to-one basis as if all undistributed earnings had been distributed to each class of units in accordance with their distribution rights. For any periods in which losses were recognized, no effect was given to the Class B Units as they did not contractually participate in the losses of Ferrellgas.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March 4, 2026, the board of directors of the general partner declared an aggregate cash distribution of approximately $107.0 million to the holders of Class B Units and approved Ferrellgas Partners’ intent to elect to convert the Class B Units into Class A Units. The distribution was paid on March 13, 2026 and all Class B Units were converted to Class A Units on March 16, 2026. See Note F “Equity (Deficit)” for more information.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 Segment reporting</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Ferrellgas has one reportable segment, Propane operations and related equipment sales. The Propane operations and related equipment sales segment includes the distribution and sale of propane and related equipment throughout the United States. Sales from propane distribution are generated principally from transporting propane purchased from third parties to propane distribution locations and then to tanks on customers’ premises or to portable propane tanks delivered to nationwide and local retailers.</w:t>
      </w:r>
    </w:p>
    <w:p>
      <w:pPr>
        <w:spacing w:after="0" w:line="203"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President and Chief Executive Officer. The CODM assesses segment performance and decides how to allocate resources based on “Net earnings,” a GAAP measure. The measure of segment assets is reported on the condensed consolidated balance sheets as “Total assets” and the measure of capital expenditures is reported on the condensed consolidated statements of cash flows as “Capital expenditures” in the investing activities section.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results to consolidated net earnings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1,594,708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Personnel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Vehicle </w:t>
            </w:r>
            <w:r>
              <w:rPr>
                <w:rFonts w:ascii="Times New Roman" w:cs="Times New Roman" w:eastAsia="Times New Roman" w:hAnsi="Times New Roman"/>
                <w:sz w:val="25"/>
                <w:szCs w:val="25"/>
                <w:color w:val="auto"/>
                <w:vertAlign w:val="superscript"/>
              </w:rPr>
              <w:t>(1)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Plant and other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Litigation settlement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expense categories and amounts align with the segment-level information that is regularly provided to the CODM.</w:t>
      </w:r>
    </w:p>
    <w:p>
      <w:pPr>
        <w:spacing w:after="0" w:line="72" w:lineRule="exact"/>
        <w:rPr>
          <w:rFonts w:ascii="Times New Roman" w:cs="Times New Roman" w:eastAsia="Times New Roman" w:hAnsi="Times New Roman"/>
          <w:sz w:val="16"/>
          <w:szCs w:val="16"/>
          <w:color w:val="auto"/>
        </w:rPr>
      </w:pPr>
    </w:p>
    <w:p>
      <w:pPr>
        <w:ind w:left="380" w:right="79" w:hanging="330"/>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“Non-cash employee stock ownership plan compensation charge,” “Loss on asset sales and disposals” and “Other income, net.”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results to consolidated net earnings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60" w:type="dxa"/>
            <w:vAlign w:val="bottom"/>
            <w:gridSpan w:val="2"/>
            <w:vMerge w:val="continue"/>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1,594,708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Personnel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Vehicle </w:t>
            </w:r>
            <w:r>
              <w:rPr>
                <w:rFonts w:ascii="Times New Roman" w:cs="Times New Roman" w:eastAsia="Times New Roman" w:hAnsi="Times New Roman"/>
                <w:sz w:val="25"/>
                <w:szCs w:val="25"/>
                <w:color w:val="auto"/>
                <w:vertAlign w:val="superscript"/>
              </w:rPr>
              <w:t>(1)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Plant and other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Litigation settlement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22"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expense categories and amounts align with the segment-level information that is regularly provided to the CODM.</w:t>
      </w:r>
    </w:p>
    <w:p>
      <w:pPr>
        <w:spacing w:after="0" w:line="72" w:lineRule="exact"/>
        <w:rPr>
          <w:rFonts w:ascii="Times New Roman" w:cs="Times New Roman" w:eastAsia="Times New Roman" w:hAnsi="Times New Roman"/>
          <w:sz w:val="16"/>
          <w:szCs w:val="16"/>
          <w:color w:val="auto"/>
        </w:rPr>
      </w:pPr>
    </w:p>
    <w:p>
      <w:pPr>
        <w:ind w:left="380" w:right="79" w:hanging="330"/>
        <w:spacing w:after="0" w:line="298"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“Non-cash employee stock ownership plan compensation charge,” “Loss on asset sales and disposals” and “Other income, net.”</w:t>
      </w:r>
    </w:p>
    <w:p>
      <w:pPr>
        <w:spacing w:after="0" w:line="264"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has evaluated events and transactions occurring from the balance sheet date through the date Ferrellgas’ condensed consolidated financial statements were issued and concluded there were no events or transactions occurring during this period that required recognition or disclosure in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60" w:type="dxa"/>
            <w:vAlign w:val="bottom"/>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 (Note 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$1.00 par value; 2,000 shares authorized; 1,000 shares issued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vMerge w:val="restart"/>
          </w:tcPr>
          <w:p>
            <w:pPr>
              <w:ind w:left="632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vMerge w:val="continue"/>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(315)</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Capital contribution</w:t>
            </w: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400" w:hanging="350"/>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Ferrellgas Partners Finance Corp. (“Partners Finance Corp.”), a Delaware corporation, was formed on March 28, 1996 and is a wholly-owned subsidiary of Ferrellgas Partners, L.P. (“Ferrellgas Partners”).</w:t>
      </w:r>
    </w:p>
    <w:p>
      <w:pPr>
        <w:spacing w:after="0" w:line="16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Ferrellgas Partners contributed $1,000 to Partners Finance Corp. on April 8, 1996 in exchange for 1,000 shares of common stock.</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Partners Finance Corp. has nominal assets, does not conduct any operations and has no employees.</w:t>
      </w:r>
    </w:p>
    <w:p>
      <w:pPr>
        <w:spacing w:after="0" w:line="221" w:lineRule="exact"/>
        <w:rPr>
          <w:sz w:val="20"/>
          <w:szCs w:val="20"/>
          <w:color w:val="auto"/>
        </w:rPr>
      </w:pPr>
    </w:p>
    <w:p>
      <w:pPr>
        <w:ind w:left="400" w:hanging="350"/>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Partners Finance Corp. serves as co-issuer and co-obligor for debt securities of Ferrellgas Partners. As of April 30, 2026, Ferrellgas Partners had no debt securities outstanding, and Partners Finance Corp. therefore was not liable as co-issuer for any such debt securities.</w:t>
      </w:r>
    </w:p>
    <w:p>
      <w:pPr>
        <w:spacing w:after="0" w:line="172" w:lineRule="exact"/>
        <w:rPr>
          <w:sz w:val="20"/>
          <w:szCs w:val="20"/>
          <w:color w:val="auto"/>
        </w:rPr>
      </w:pPr>
    </w:p>
    <w:p>
      <w:pPr>
        <w:ind w:left="400" w:hanging="350"/>
        <w:spacing w:after="0"/>
        <w:tabs>
          <w:tab w:leader="none" w:pos="4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Partners Finance Corp. has evaluated events and transactions occurring from the balance sheet date through the date Partners Finance Corp.’s consolidated financial statements were issued and concluded that there were no events or transactions occurring during this period that required recognition or disclosure in its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 (Note B)</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3"/>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$1.00 par value; 2,000 shares authorized; 1,000 shares issued and</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vMerge w:val="restart"/>
          </w:tcPr>
          <w:p>
            <w:pPr>
              <w:ind w:left="632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For the 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2"/>
                <w:szCs w:val="12"/>
                <w:color w:val="auto"/>
              </w:rPr>
            </w:pP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Capital contribution</w:t>
            </w: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400" w:hanging="350"/>
        <w:spacing w:after="0"/>
        <w:tabs>
          <w:tab w:leader="none" w:pos="4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Ferrellgas Finance Corp. (“Finance Corp.”), a Delaware corporation, was formed on January 16, 2003 and is a wholly-owned subsidiary of Ferrellgas, L.P. (the “operating partnership”).</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contributed $1,000 to Finance Corp. on January 24, 2003 in exchange for 1,000 shares of common stock.</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Finance Corp. has nominal assets, does not conduct any operations and has no employees.</w:t>
      </w:r>
    </w:p>
    <w:p>
      <w:pPr>
        <w:spacing w:after="0" w:line="221" w:lineRule="exact"/>
        <w:rPr>
          <w:sz w:val="20"/>
          <w:szCs w:val="20"/>
          <w:color w:val="auto"/>
        </w:rPr>
      </w:pPr>
    </w:p>
    <w:p>
      <w:pPr>
        <w:ind w:left="400" w:hanging="350"/>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Finance Corp. serves as co-issuer and co-obligor for debt securities of the operating partnership. On October 27, 2025, the operating partnership and Ferrellgas Finance Corp. (collectively, the “Issuers”) issued $650.0 million aggregate principal amount of 9.250% senior notes due January 15, 2031 (the “2031 Notes”) at an offering price equal to 100% of the principal amount thereof. Net proceeds of approximately $637.5 million, after deducting the initial purchasers’ discount and offering expenses were used, together with cash on hand, to redeem all $650.0 million aggregate principal amount of the Issuers’ 5.375% senior notes due April 1, 2026 (the “2026 Notes”).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Finance Corp. is also liable for borrowings under the operating partnership’s Credit Facility. On October 27, 2025, the operating partnership entered into the Seventh Amendment to the Credit Agreement which, among other things, extended the maturity date to October 27, 2028 and increased the maximum borrowing capacity to $350.0 million, with availability subject to a periodic borrowing base calculation, and an accordion feature allowing for increases by up to $50.0 million in the aggregate subject to customary conditions. The Credit Agreement includes a sublimit not to exceed $300.0 million for the issuance of letters of credit.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April 30, 2026, Finance Corp. was liable as co-issuer and co-obligor for the operating partnership’s (i) $825 million aggregate principal amount of unsecured senior notes due April 1, 2029, issued on March 30, 2021, and (ii) the 2031 Notes.</w:t>
      </w:r>
    </w:p>
    <w:p>
      <w:pPr>
        <w:spacing w:after="0" w:line="172" w:lineRule="exact"/>
        <w:rPr>
          <w:sz w:val="20"/>
          <w:szCs w:val="20"/>
          <w:color w:val="auto"/>
        </w:rPr>
      </w:pPr>
    </w:p>
    <w:p>
      <w:pPr>
        <w:ind w:left="400" w:hanging="350"/>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Finance Corp. has evaluated events and transactions occurring from the balance sheet date through the date Finance Corp.’s condensed financial statements were issued and concluded that there were no events or transactions occurring during this period that required recognition or disclosure in its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0" w:right="1099"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References and Defined Terms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this Item 2 of this Quarterly Report on Form 10-Q, unless the context indicates otherwise:</w:t>
      </w:r>
    </w:p>
    <w:p>
      <w:pPr>
        <w:spacing w:after="0" w:line="117" w:lineRule="exact"/>
        <w:rPr>
          <w:sz w:val="20"/>
          <w:szCs w:val="20"/>
          <w:color w:val="auto"/>
        </w:rPr>
      </w:pPr>
    </w:p>
    <w:p>
      <w:pPr>
        <w:jc w:val="both"/>
        <w:ind w:left="720" w:right="7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“we,” “our,” “ours,” “consolidated,” the “Company” or “Ferrellgas” are references to Ferrellgas Partners, L.P. together with its consolidated subsidiaries, including Ferrellgas, L.P., Ferrellgas Partners Finance Corp. and Ferrellgas Finance Corp., except when used in connection with “Class A Units” or “Class B Units,” in which case these terms refer to Ferrellgas Partners, L.P. without its consolidated subsidiaries;</w:t>
      </w:r>
    </w:p>
    <w:p>
      <w:pPr>
        <w:spacing w:after="0" w:line="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“Ferrellgas Partners” refers to Ferrellgas Partners, L.P. itself, with its consolidated subsidiaries;</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refers to Ferrellgas, L.P., together (except where the context indicates otherwise) with its consolidated subsidiaries, including Ferrellgas Finance Corp.;</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refers to Ferrellgas, Inc.;</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refers to Ferrell Companies, Inc., the sole shareholder of our general partner;</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or “Board” refers to the board of directors of our general partner;</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accounting principles generally accepted in the United States;</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refers to Propane and other gas liquid sales: Retail - Sales to End Users, or the volume of propane sold primarily to our residential, industrial/commercial and agricultural customers;</w:t>
      </w:r>
    </w:p>
    <w:p>
      <w:pPr>
        <w:spacing w:after="0" w:line="1"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sales” refers to Propane and other gas liquid sales: Wholesale - Sales to Resellers, or the volume of propane sold primarily to our portable tank exchange customers and bulk propane sold to wholesale customers;</w:t>
      </w:r>
    </w:p>
    <w:p>
      <w:pPr>
        <w:spacing w:after="0" w:line="1"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gas sales” refers to Propane and other gas liquid sales: Other Gas Sales, or the volume of bulk propane sold to other third-party propane distributors or marketers and the volume of refined fuel sold;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“propane sales volume” refers to the volume of propane sold to our retail sales and wholesale sales customers;</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refers to the Class A Units of Ferrellgas Partners, one of which was issued for every twenty of Ferrellgas Partners’ then-outstanding common units in a 1-for-20 reverse unit split effected on March 30, 2021;</w:t>
      </w:r>
    </w:p>
    <w:p>
      <w:pPr>
        <w:spacing w:after="0" w:line="1"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refers to the Class B Units of Ferrellgas Partners, which were converted to Class A Units on March 16, 2026;</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Units” refers to the Senior Preferred Units of the operating partnership;</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or “unitholders” refers to holders of Class A Units, holders of Class B Units or holders of Preferred Units, as indicated or as the context requires for each such reference;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fiscal year are to the fiscal year ended or ending on July 31 of the applicable year.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Also, the following terms are defined in this Item 2 of this Quarterly Report on Form 10-Q:</w:t>
      </w:r>
    </w:p>
    <w:p>
      <w:pPr>
        <w:spacing w:after="0" w:line="117"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Ferrellgas Partners LPA</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OpCo LPA</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Facility</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Ferrellgas Partners Notes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LPA Amendment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Statements included in this report include forward-looking statements. These forward-looking statements are identified as any statement that does not relate strictly to historical or current facts. These statements often use words such as “anticipate,” “believe,” “intend,” “plan,” “projection,” “forecast,” “strategy,” “position,” “continue,” “estimate,” “expect,” “may,” “will,” or the negative of those terms or other variations of them or comparable terminology. These statements often discuss plans, strategies, events or developments that we expect or anticipate will or may occur in the future and are based upon the beliefs and assumptions of our management and on the information currently available to them. In particular, statements, express or implied, concerning our future operating results or financial position or our ability to generate sales, income or cash flow are forward-looking statements.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any forward-looking statements. All forward-looking statements are subject to risks, uncertainties and assumptions that could cause our actual results to differ materially from those expressed in or implied by these forward-looking statements. Many of the factors that will affect our future results are beyond our ability to control or predict. Some of the risk factors that may affect our business, financial condition or results of operations include:</w:t>
      </w:r>
    </w:p>
    <w:p>
      <w:pPr>
        <w:spacing w:after="0" w:line="75"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weather conditions on the demand for propane;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wholesale propane, motor fuel and crude oil;</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supply of propane;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industry participants and other energy sources;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and technology advances;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the collection of accounts or notes receivable;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counterparty, supplier or vendor defaults;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and production of, hydrocarbon products;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trucking and rail regulations;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operating and litigation risks in gathering, transporting, handling and storing propane;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acquisitions or to successfully integrate acquired operations;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or liabilities imposed under, environmental, health and safety laws;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future legal proceedings;</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disruption, failure or malfunction of our information technology systems including due to cyber-attack;</w:t>
      </w:r>
    </w:p>
    <w:p>
      <w:pPr>
        <w:spacing w:after="0" w:line="1"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 that could adversely affect the tax treatment of Ferrellgas Partners for federal income tax purposes;</w:t>
      </w:r>
    </w:p>
    <w:p>
      <w:pPr>
        <w:spacing w:after="0" w:line="1"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particularly in areas of the world tied to the energy industry, including the ongoing conflict between Russia and Ukraine and in the Middle East;</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capital and credit markets, related to the evolving global tariff environment or otherwise; and</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available capital to meet our operating and debt-service requirements.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considering any forward-looking statement, you should also keep in mind the risk factors set forth in “Item 1A. Risk Factors” of our Annual Report on Form 10-K for fiscal 2025 and in any more recent filings with the SEC. Any of these risks could impair our business, financial condition or results of operations. Any such impairment may affect our ability to make distributions to our unitholders or pay interest on the principal of any of our debt securities. In addition, the trading price of our securities could decline as a result of any such impairment.</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Except for our ongoing obligations to disclose material information as required by federal securities laws, we undertake no obligation to update any forward-looking statements or risk factors after the date of this Quarterly Report on Form 10-Q.</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relates to Ferrellgas Partners and the operating partnership.</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Ferrellgas Partners is a holding entity that conducts no operations and has two direct subsidiaries, the operating partnership and Ferrellgas Partners Finance Corp. Our activities are primarily conducted through the operating partnership. Ferrellgas Partners and the Preferred Unitholders are the only limited partners of the operating partnership. Ferrellgas, Inc. is the sole general partner of Ferrellgas Partners and the operating partnership and, excluding the economic interests attributable to the Preferred Units, owns an approximate 0.4% general partner economic interest in Ferrellgas Partners and an approximate 1.0% general partner economic interest in the operating partnership, and, therefore, an effective 1.4% general partner economic interest. Excluding the economic interests attributable to the Preferred Units, Ferrellgas Partners owns an approximate 99.0% limited partner interest in the operating partnership. On March 16, 2026, all Class B Units were converted to Class A Units. See Note F “Equity (Deficit)” for more information. For information regarding the economic and other terms of the Preferred Units, see Note E “Preferred units” to our condensed consolidated financial statements included elsewhere herein.</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general partner performs all management functions for us. The parent company of our general partner, Ferrell Companies, currently beneficially owns approximately 10.0% of our outstanding Class A units. Ferrell Companies is owned 100% by an employee stock ownership trust.</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was formed on April 22, 1994, and accounts for substantially all of our consolidated assets, sales and operating earnings.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Ferrellgas Partners Finance Corp. and Ferrellgas Finance Corp. have nominal assets, do not conduct any operations and have no employees other than officers. Ferrellgas Partners Finance Corp. has served as co-issuer and co-obligor for debt securities of Ferrellgas Partners, while Ferrellgas Finance Corp., a subsidiary of the operating partnership, serves as co-issuer and co-obligor for debt securities of the operating partnership. Accordingly, and due to the reduced disclosure format, a discussion of the results of operations, liquidity and capital resources of Ferrellgas Partners Finance Corp. and Ferrellgas Finance Corp. is not presented in this section.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Class A Units of Ferrellgas Partners are traded on the OTC Market under the symbol “FGPR.”</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Securities and Exchange Commission (the “SEC”). You may read and download our SEC filings over the Internet from several commercial document retrieval services as well as at the SEC’s website at www.sec.gov. Our SEC filings are also available on our website at www.ferrellgas.com at no cost as soon as reasonably practicable after our electronic filing or furnishing thereof with the SEC. Please note that any Internet addresses provided in this Quarterly Report on Form 10-Q are for informational purposes only and are not intended to be hyperlinks. Accordingly, no information found and/or provided at such Internet addresses is intended or deemed to be incorporated by reference herein.</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our historical financial condition and results of operations and should be read in conjunction with our audited historical consolidated financial statements and accompanying notes thereto included in our Annual Report on Form 10-K for fiscal 2025 and in our unaudited historical condensed consolidated financial statements and accompanying notes thereto included elsewhere in this Quarterly Report on Form 10-Q.</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discussions set forth in the “Results of Operations” and “Liquidity and Capital Resources” sections generally refer to Ferrellgas Partners and its consolidated subsidiaries.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12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evaluate our overall business performance based primarily on a metric we refer to as “Adjusted EBITDA,” which is not defined by GAAP and should not be considered an alternative to earnings measures defined by GAAP. We do not utilize depreciation, depletion and amortization expense in our key measures because we focus our performance management on cash flow generation and our revenue generating assets have long useful lives. For the definition of Adjusted EBITDA and a reconciliation of Adjusted EBITDA to net earnings attributable to Ferrellgas Partners, L.P., the most directly comparable GAAP measure, see the subheading “Non-GAAP Financial Measures”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Propane operations and related equipment sales</w:t>
      </w:r>
    </w:p>
    <w:p>
      <w:pPr>
        <w:spacing w:after="0" w:line="11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Based on our propane sales volumes in fiscal 2025, we believe that we are the second largest retail marketer of propane in the United States and a leading national provider of propane by portable tank exchange. We serve residential, industrial/commercial, portable tank exchange, agricultural, wholesale and other customers in all 50 states, the District of Columbia and Puerto Rico. Our operations primarily include the retail distribution and sale of propane and related equipment and supplies.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use information on temperatures to understand how our results of operations are affected by temperatures that are warmer or colder than normal. Normal temperatures computed by us are the average of the last 10 years of information published by AccuWeather. Based on this information we calculate a ratio of actual heating degree days to normal heating degree days. Heating degree days are a general indicator of weather impacting propane usage.</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Weather conditions have a significant impact on demand for propane for heating purposes primarily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will tend to result in reduced propane usage, while sustained colder-than-normal temperatures will tend to result in greater usage. Although there is a strong correlation between weather and customer usage, general economic conditions in the United States and the wholesale price of propane can have a significant impact on this correlation. Additionally, there is a natural time lag between the onset of cold weather and increased sales to customers. If the United States were to experience a cooling trend, we could expect nationwide demand for propane to increase which could lead to greater sales, income and cash flow. Conversely, if the United States were to experience a continued warming trend, we could expect nationwide demand for propane for heating purposes to decrease which could lead to a reduction in our sales, income and cash flow as well as impact our ability to maintain compliance with our debt covenants.</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employ risk management activities that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open financial derivative propane purchase commitments are designated as hedges primarily for fiscal 2026 and 2027 sales commitments and, as of April 30, 2026, we have experienced net mark-to-market gains of approximately $8.9 million. Because these financial derivative purchase commitments qualify for hedge accounting treatment, the resulting asset, liability and related mark-to-market gains or losses are recorded on the condensed consolidated balance sheets as “Prepaid expenses and other current assets,” “Other assets, net,” “Other current liabilities,” “Other liabilities” and “Accumulated other comprehensive income,” respectively, until settled. Upon settlement, realized gains or losses on these contracts will be reclassified to “Cost of sales-propane and other gas liquid sales” in the condensed consolidated statements of operations as the underlying inventory is sold. These financial derivative purchase commitment net losses are expected to be offset by increased margins on propane sales commitments that qualify for the normal purchase normal sale exception. At April 30, 2026, we estimate 88% of currently open financial derivative purchase commitments, the related propane sales commitments and the resulting gross margin will be realized into earnings during the next twelve months.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Discussion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April 30, 2026 and 2025</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2026 and 2025, we recognized net earnings attributable to Ferrellgas Partners, L.P. of $28.0 million and $59.1 million, respectively. The $31.1 million decrease was primarily due to an increase of $29.0 million in “Operating expense – personnel, vehicle, plant and other,” which was partially offset by a $2.2 million increase in “Gross margin.”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Distributable cash flow attributable to equity investors decreased to $67.0 million for the three months ended April 30, 2026 compared to $85.6 million for the prior year period, primarily due to a decrease of $12.7 million in Adjusted EBITDA and an increase of $6.5 million in “Net cash interest expense.” The increase in “Net cash Interest expense” consists of a $4.2 million increase in “Interest expense” on our unsecured notes related to the October 2025 refinancing, which was partially offset by a $2.2 million change in amortization costs related to our credit facility.</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had a distributable cash flow shortage of $56.7 million during the three months ended April 30, 2026, compared to a distributable cash flow excess of $68.3 million during the three months ended April 30, 2025. This $125.0 million change was primarily due to the $107.0 million distribution to Class B Unitholders made in March 2026, and the $18.6 million decrease in distributable cash flow attributable to equity investors noted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April 30, 2026 and 2025</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April 30, 2026 and 2025, we recognized net earnings attributable to Ferrellgas Partners, L.P. of $103.3 million and $11.3 million, respectively. The $92.0 million increase was primarily due to a $125.0 million legal accrual recorded in the prior year, which was partially offset by an increase of $30.2 million in “Operating expense – personnel, vehicle, plant and other, and a $10.1 million increase in “Interest expense.”</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Distributable cash flow attributable to equity investors was $192.6 million and $214.2 million for the nine months ended April 30, 2026 and 2025, respectively. The $21.6 million decrease was primarily due to a $15.5 million increase in “Net cash interest expense,” and a decrease of $10.1 million in Adjusted EBITDA, which was partially offset by a decrease of $4.6 million in “Maintenance capital expenditures”. The increase in “Net cash Interest expense” primarily relates to an increase of $10.1 million in “Interest expense” and a $3.0 million “Loss on extinguishment of debt” which were both related to the October 2025 refinancing transactions. The decrease in “Maintenance capital expenditures” primarily relates to failed sale-leaseback arrangements in the prior year period.</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had a distributable cash flow excess of $34.1 million and $161.9 million during the nine months ended April 30, 2026 and 2025, respectively. This $127.8 million decrease was primarily due to the $107.0 million distribution to Class B Unitholders made in March 2026, and the $21.6 million decrease in distributable cash flow attributable to equity investors noted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1,521,162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1,594,708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(82,116)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Ferrellgas Partners, L.P.</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we present the following Non-GAAP financial measures: Adjusted EBITDA, Distributable cash flow attributable to equity investors, Distributable cash flow attributable to Class A and B Unitholders, and Distributable cash flow (shortage) excess.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for Ferrellgas Partners is calculated as net earnings attributable to Ferrellgas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L.P., plus the sum of the following: income tax expense, interest expense, depreciation and amortization expense, non-cash employee stock ownership plan compensation charge, loss on extinguishment of debt, loss on asset sales and disposals, other income, net, severance, non-recurring employee benefit policy adjustment, legal fees and settlements related to non-core businesses, legal fees and settlements related to core businesses, acquisition and related costs, Class B Unit conversion costs, compliance costs, business transformation costs,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similarly titled measurements used by other companies. Items added into our calculation of Adjusted EBITDA that will not occur on a continuing basis may have associated cash payments. This method of calculating Adjusted EBITDA should be viewed in conjunction with measurements that are computed in accordance with GAAP.</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Distributable Cash Flow Attributable to Equity Investors</w:t>
      </w:r>
      <w:r>
        <w:rPr>
          <w:rFonts w:ascii="Times New Roman" w:cs="Times New Roman" w:eastAsia="Times New Roman" w:hAnsi="Times New Roman"/>
          <w:sz w:val="18"/>
          <w:szCs w:val="18"/>
          <w:color w:val="auto"/>
        </w:rPr>
        <w:t>. Distributable cash flow attributable to equity investors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as Adjusted EBITDA minus net cash interest expense, maintenance capital expenditures and cash paid for income taxes, plus proceeds from certain asset sales. Management considers distributable cash flow attributable to equity investors a meaningful measure of Ferrellgas’ ability to declare and pay quarterly distributions to equity investors, including holders of the operating partnership’s Preferred Units. Distributable cash flow attributable to equity investors, as management defines it, may not be comparable to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Distributable Cash Flow Attributable to Class A and B Unitholders</w:t>
      </w:r>
      <w:r>
        <w:rPr>
          <w:rFonts w:ascii="Times New Roman" w:cs="Times New Roman" w:eastAsia="Times New Roman" w:hAnsi="Times New Roman"/>
          <w:sz w:val="18"/>
          <w:szCs w:val="18"/>
          <w:color w:val="auto"/>
        </w:rPr>
        <w:t>. Distributable cash flow attributable to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 Unitholders is calculated as Distributable cash flow attributable to equity investors minus distributions accrued or paid to Preferred Unitholders and distributable cash flow attributable to general partner and noncontrolling interest. Management considers Distributable cash flow attributable to Class A and B Unitholders a meaningful measure of the partnership’s ability to declare and pay quarterly distributions to Class A and B Unitholders. Distributable cash flow attributable to Class A and B Unitholders, as management defines it, may not be comparable to similarly titled measurements used by other companies. Items added into our calculation of distributable cash flow attributable to Class A and B Unitholders that will not occur on a continuing basis may have associated cash payments. Distributable cash flow attributable to Class A and B Unitholders should be viewed in conjunction with measurements that are computed in accordance with GAAP.</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Distributable Cash Flow (Shortage) Excess</w:t>
      </w:r>
      <w:r>
        <w:rPr>
          <w:rFonts w:ascii="Times New Roman" w:cs="Times New Roman" w:eastAsia="Times New Roman" w:hAnsi="Times New Roman"/>
          <w:sz w:val="18"/>
          <w:szCs w:val="18"/>
          <w:color w:val="auto"/>
        </w:rPr>
        <w:t>. Distributable cash flow (shortage) excess is calculated as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attributable to Class A and B Unitholders minus Distributions paid to Class A and B Unitholders. Distributable cash flow excess, if any, is retained to establish reserves, to reduce debt, to fund capital expenditures and for other partnership purposes, and any shortage is funded from previously established reserves, cash on hand or borrowings under our Credit Facility. Management considers Distributable cash flow (shortage) excess a meaningful measure of the partnership’s ability to effectuate those purposes. Distributable cash flow (shortage) excess, as management defines it, may not be comparable to similarly titled measurements used by other companies. Items added into our calculation of distributable cash flow (shortage) excess that will not occur on a continuing basis may have associated cash payments. Distributable cash flow (shortage) excess should be viewed in conjunction with measurements that are computed in accordance with GAAP.</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reconciles Adjusted EBITDA, Distributable cash flow attributable to equity investors, Distributable cash flow attributable to Class A and B Unitholders and Distributable cash flow (shortage) excess to Net earnings attributable to Ferrellgas Partners, L.P., the most directly comparable GAAP measure, for the three and nine months ended April 30, 2026 and 2025:</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2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Ferrellgas Partners, L.P.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Non-recurring employee benefit policy adjustment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Legal fees and settlements related to non-core businesses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fees and settlements related to core businesses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Acquisition and related costs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Class B Unit conversion costs </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Compliance costs </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Business transformation costs </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114,779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Net cash interest expense </w:t>
            </w:r>
            <w:r>
              <w:rPr>
                <w:rFonts w:ascii="Times New Roman" w:cs="Times New Roman" w:eastAsia="Times New Roman" w:hAnsi="Times New Roman"/>
                <w:sz w:val="25"/>
                <w:szCs w:val="25"/>
                <w:color w:val="auto"/>
                <w:vertAlign w:val="superscript"/>
              </w:rPr>
              <w:t>(6)</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(29,865)</w:t>
            </w: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(23,384)</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(84,784)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Maintenance capital expenditures </w:t>
            </w:r>
            <w:r>
              <w:rPr>
                <w:rFonts w:ascii="Times New Roman" w:cs="Times New Roman" w:eastAsia="Times New Roman" w:hAnsi="Times New Roman"/>
                <w:sz w:val="25"/>
                <w:szCs w:val="25"/>
                <w:color w:val="auto"/>
                <w:vertAlign w:val="superscript"/>
              </w:rPr>
              <w:t>(7)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(20,942)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certain asset sales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0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Distributable cash flow attributable to equity investors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214,243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Distributions accrued or paid to preferred unitholders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48,086</w:t>
            </w:r>
          </w:p>
        </w:tc>
        <w:tc>
          <w:tcPr>
            <w:tcW w:w="0" w:type="dxa"/>
            <w:vAlign w:val="bottom"/>
          </w:tcPr>
          <w:p>
            <w:pPr>
              <w:spacing w:after="0"/>
              <w:rPr>
                <w:sz w:val="1"/>
                <w:szCs w:val="1"/>
                <w:color w:val="auto"/>
              </w:rPr>
            </w:pPr>
          </w:p>
        </w:tc>
      </w:tr>
      <w:tr>
        <w:trPr>
          <w:trHeight w:val="198"/>
        </w:trPr>
        <w:tc>
          <w:tcPr>
            <w:tcW w:w="5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Distributable cash flow attributable to general partner and non-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controlling interest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(1,340)</w:t>
            </w:r>
          </w:p>
        </w:tc>
        <w:tc>
          <w:tcPr>
            <w:tcW w:w="2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cash flow attributable to Class A and B unitholders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Distributions paid to Class A and B unitholders </w:t>
            </w:r>
            <w:r>
              <w:rPr>
                <w:rFonts w:ascii="Times New Roman" w:cs="Times New Roman" w:eastAsia="Times New Roman" w:hAnsi="Times New Roman"/>
                <w:sz w:val="25"/>
                <w:szCs w:val="25"/>
                <w:color w:val="auto"/>
                <w:vertAlign w:val="superscript"/>
              </w:rPr>
              <w:t>(8)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cash flow (shortage) excess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corporate restructuring included in “Operating, general and administrative expense.”</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Non-recurring due diligence related to potential acquisition activities, restructuring costs and other adjustments.</w:t>
      </w:r>
    </w:p>
    <w:p>
      <w:pPr>
        <w:spacing w:after="0" w:line="72" w:lineRule="exact"/>
        <w:rPr>
          <w:rFonts w:ascii="Times New Roman" w:cs="Times New Roman" w:eastAsia="Times New Roman" w:hAnsi="Times New Roman"/>
          <w:sz w:val="16"/>
          <w:szCs w:val="16"/>
          <w:color w:val="auto"/>
        </w:rPr>
      </w:pPr>
    </w:p>
    <w:p>
      <w:pPr>
        <w:ind w:left="60" w:right="59" w:hanging="10"/>
        <w:spacing w:after="0" w:line="298" w:lineRule="auto"/>
        <w:tabs>
          <w:tab w:leader="none" w:pos="38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conversion of Class B Units to Class A Units in March 2026 included in “Operating, general and administrative expense.”</w:t>
      </w:r>
    </w:p>
    <w:p>
      <w:pPr>
        <w:spacing w:after="0" w:line="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Non-recurring compliance costs included in “Operating, general and administrative expense.”</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Non-recurring costs included in “Operating, general and administrative expense” related to business transformation initiatives.</w:t>
      </w:r>
    </w:p>
    <w:p>
      <w:pPr>
        <w:spacing w:after="0" w:line="7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interest expense is the sum of interest expense less non-cash interest expense and other income, net.</w:t>
      </w:r>
    </w:p>
    <w:p>
      <w:pPr>
        <w:spacing w:after="0" w:line="86" w:lineRule="exact"/>
        <w:rPr>
          <w:rFonts w:ascii="Times New Roman" w:cs="Times New Roman" w:eastAsia="Times New Roman" w:hAnsi="Times New Roman"/>
          <w:sz w:val="16"/>
          <w:szCs w:val="16"/>
          <w:color w:val="auto"/>
        </w:rPr>
      </w:pPr>
    </w:p>
    <w:p>
      <w:pPr>
        <w:ind w:left="60" w:right="79" w:hanging="10"/>
        <w:spacing w:after="0" w:line="268" w:lineRule="auto"/>
        <w:tabs>
          <w:tab w:leader="none" w:pos="3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Maintenance capital expenditures include capitalized expenditures for betterment and replacement of property, plant and equipment, and may from time to time include the purchase of assets that are typically leased.</w:t>
      </w:r>
    </w:p>
    <w:p>
      <w:pPr>
        <w:spacing w:after="0" w:line="35" w:lineRule="exact"/>
        <w:rPr>
          <w:rFonts w:ascii="Times New Roman" w:cs="Times New Roman" w:eastAsia="Times New Roman" w:hAnsi="Times New Roman"/>
          <w:sz w:val="18"/>
          <w:szCs w:val="18"/>
          <w:color w:val="auto"/>
        </w:rPr>
      </w:pPr>
    </w:p>
    <w:p>
      <w:pPr>
        <w:ind w:left="60" w:right="59" w:hanging="10"/>
        <w:spacing w:after="0" w:line="268" w:lineRule="auto"/>
        <w:tabs>
          <w:tab w:leader="none" w:pos="3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Company did not pay any distributions to Class A Unitholders during any of the periods in fiscal 2026 or 2025. The Company paid a cash distribution on the Class B Units of $82.32 per Class B Unit, or $107.0 million in the aggregate in March 2026.</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for the three months ended April 30, 2026 and 2025</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propane sales volumes and Adjusted EBITDA results for the periods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Retail customers </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Tank exchange selling locations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Propane sales volumes (gallons):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220,019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Revenues -</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line="20" w:lineRule="exact"/>
              <w:rPr>
                <w:sz w:val="1"/>
                <w:szCs w:val="1"/>
                <w:color w:val="auto"/>
              </w:rPr>
            </w:pP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0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 Gas Sales </w:t>
            </w:r>
            <w:r>
              <w:rPr>
                <w:rFonts w:ascii="Times New Roman" w:cs="Times New Roman" w:eastAsia="Times New Roman" w:hAnsi="Times New Roman"/>
                <w:sz w:val="25"/>
                <w:szCs w:val="25"/>
                <w:color w:val="auto"/>
                <w:vertAlign w:val="superscript"/>
              </w:rPr>
              <w:t>(2)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Propane and related equipment revenues</w:t>
            </w:r>
          </w:p>
        </w:tc>
        <w:tc>
          <w:tcPr>
            <w:tcW w:w="5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524,559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(36,288)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Propane and other gas liquids sales gross margin: </w:t>
            </w:r>
            <w:r>
              <w:rPr>
                <w:rFonts w:ascii="Times New Roman" w:cs="Times New Roman" w:eastAsia="Times New Roman" w:hAnsi="Times New Roman"/>
                <w:sz w:val="25"/>
                <w:szCs w:val="25"/>
                <w:color w:val="auto"/>
                <w:vertAlign w:val="superscript"/>
              </w:rPr>
              <w:t>(4)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Retail - Sales to End Users </w:t>
            </w:r>
            <w:r>
              <w:rPr>
                <w:rFonts w:ascii="Times New Roman" w:cs="Times New Roman" w:eastAsia="Times New Roman" w:hAnsi="Times New Roman"/>
                <w:sz w:val="25"/>
                <w:szCs w:val="25"/>
                <w:color w:val="auto"/>
                <w:vertAlign w:val="superscript"/>
              </w:rPr>
              <w:t>(2)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207,016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Wholesale - Sales to Resellers </w:t>
            </w:r>
            <w:r>
              <w:rPr>
                <w:rFonts w:ascii="Times New Roman" w:cs="Times New Roman" w:eastAsia="Times New Roman" w:hAnsi="Times New Roman"/>
                <w:sz w:val="25"/>
                <w:szCs w:val="25"/>
                <w:color w:val="auto"/>
                <w:vertAlign w:val="superscript"/>
              </w:rPr>
              <w:t>(2)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(7,364)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related equipment gross profit</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line="20" w:lineRule="exact"/>
              <w:rPr>
                <w:sz w:val="1"/>
                <w:szCs w:val="1"/>
                <w:color w:val="auto"/>
              </w:rPr>
            </w:pP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general and administrative expense </w:t>
            </w:r>
            <w:r>
              <w:rPr>
                <w:rFonts w:ascii="Times New Roman" w:cs="Times New Roman" w:eastAsia="Times New Roman" w:hAnsi="Times New Roman"/>
                <w:sz w:val="25"/>
                <w:szCs w:val="25"/>
                <w:color w:val="auto"/>
                <w:vertAlign w:val="superscript"/>
              </w:rPr>
              <w:t>(5)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(889)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employee benefit policy adjustment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Legal fees and settlements related to non-core businesses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(1,479)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settlements related to core businesses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Unit conversion costs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transformation costs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(12,683)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73" w:lineRule="exact"/>
        <w:rPr>
          <w:sz w:val="20"/>
          <w:szCs w:val="20"/>
          <w:color w:val="auto"/>
        </w:rPr>
      </w:pPr>
    </w:p>
    <w:p>
      <w:pPr>
        <w:jc w:val="both"/>
        <w:ind w:left="380" w:right="79" w:hanging="330"/>
        <w:spacing w:after="0" w:line="272"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the first quarter of fiscal 2026, we refined our methodology for determining active customers to better align with business initiatives and internal reporting. The updated approach identifies customers based on invoiced billing activity from all revenue streams including rent, services, fees, and appliance sales, in addition to propane delivery. It also captures unique delivery locations, rather than billing accounts. Management believes this provides a more meaningful measure of customer activity. Prior period amounts have been updated to reflect this change. The revision did not affect any financial metrics.</w:t>
      </w:r>
    </w:p>
    <w:p>
      <w:pPr>
        <w:spacing w:after="0" w:line="19" w:lineRule="exact"/>
        <w:rPr>
          <w:rFonts w:ascii="Times New Roman" w:cs="Times New Roman" w:eastAsia="Times New Roman" w:hAnsi="Times New Roman"/>
          <w:sz w:val="16"/>
          <w:szCs w:val="16"/>
          <w:color w:val="auto"/>
        </w:rPr>
      </w:pPr>
    </w:p>
    <w:p>
      <w:pPr>
        <w:ind w:left="380" w:right="79" w:hanging="330"/>
        <w:spacing w:after="0" w:line="301"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for “Other Gas Sales” is allocated to Gross margin “Retail - Sales to End Users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“Wholesale - Sales to Resellers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based on the volumes in each respective category.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primarily includes various customer fee income and to a lesser extent appliance and material sales.</w:t>
      </w:r>
    </w:p>
    <w:p>
      <w:pPr>
        <w:spacing w:after="0" w:line="68" w:lineRule="exact"/>
        <w:rPr>
          <w:rFonts w:ascii="Times New Roman" w:cs="Times New Roman" w:eastAsia="Times New Roman" w:hAnsi="Times New Roman"/>
          <w:sz w:val="16"/>
          <w:szCs w:val="16"/>
          <w:color w:val="auto"/>
        </w:rPr>
      </w:pPr>
    </w:p>
    <w:p>
      <w:pPr>
        <w:ind w:left="380" w:right="79" w:hanging="330"/>
        <w:spacing w:after="0" w:line="312"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from “Propane and other gas liquids sales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represents “Revenues - Propane and other gas liquids sales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less “Cost of sales - Propane and other gas liquids sales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does not include depreciation and amortization.</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right="79" w:hanging="330"/>
        <w:spacing w:after="0" w:line="298"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general and administrative expense” above includes both the “Operating expense – personnel, vehicle, plant and other” and the “General and administrative expense” captions in the condensed consolidated statement of operations.</w:t>
      </w:r>
    </w:p>
    <w:p>
      <w:pPr>
        <w:spacing w:after="0" w:line="16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Persistent warmth continues to dominate the western half of the country. Average temperatures (measured by heating degree days) were 25% warmer than normal (based on AccuWeather’s ten-year average) and 26% warmer than the prior year quarter in the western half of the country. Temperatures in other parts of the country, although not as extreme as the west, also had warmer temperatures. Overall, average temperatures for the three months ended April 30, 2026, were 12% warmer than normal and 9% warmer than the prior year quarter. Propane sales volume during the three months ended April 30, 2026 decreased 2.8 million gallons, or 1%, compared to the prior year period. The Company continues to proactively grow business that is not temperature-sensitive, which partially alleviates the impact of weather on its propane sales.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wholesale sales price per gallon partially correlates to the change in the wholesale market price of propane. The wholesale market price at major supply points in Mt. Belvieu, Texas during the three months ended April 30, 2026 averaged 15.7% less than the prior year period, while at the Conway, Kansas major supply point prices averaged 15.0% less than the prior year period. The wholesale market price at Mt. Belvieu, Texas averaged $0.75 and $0.89 per gallon during the three months ended April 30, 2026 and 2025, respectively, while the wholesale market price at Conway, Kansas averaged $0.68 and $0.80 per gallon during the three months ended April 30, 2026 and 2025,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Retail sales decreased $30.2 million, or 8%, compared to the prior year period, largely driven by the decrease in wholesale propane prices noted above. Retail gallons sold decreased 4.4 million gallons, or 3%, compared to the prior year period. The warmer weather in the west drove a 6.1 million decrease in gallons sold, which was partially offset by a 1.7 million increase in gallons sold in the rest of the country.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Wholesale sales decreased $1.6 million, or 1%, while gallons sold increased 1.6 million, or 3%, compared to the prior year quarter. A $4.7 million decrease in reseller and other wholesale sales was partially offset by a $3.1 million increase in tank exchange sales as selling locations increased to over 65,000 locations nationwide. Growth was concentrated in the channels where consumer demand is strongest. Selling locations, gallons, and revenue collectively reflect growth, demonstrating the durability of our wholesale distribution model.</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gas sales increased $3.8 million compared to the prior year period primarily due to an increase in sales volume.</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revenues decreased $8.3 million, or 30%, compared to the prior year period. The decrease relates to the presentation of certain transportation costs from a reduction of revenue to cost of product sold made in conjunction with the implementation of new CTRM software. This change does not impact gross profit, operating income or cash flows. We also have a decrease of $0.9 million in appliance sales, partially offset by a $0.7 million increase in miscellaneous revenue.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Gross margin - Propane and other gas liquids sales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$9.6 million, or 4%, due to an increase of $10.0 million in retail gross margin partially offset by a decrease of $0.4 million, or 1%, in wholesale gross margin. The overall increase was driven by a $37.6 million decrease in cost of product sold, partially offset by a $28.0 million decrease in revenue.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$10.0 million, or 5%, increase in retail gross margin was primarily driven by an increase of $21.1 million, or 18%, related to residential customers, which was partially offset by a $7.5 million decrease related to industrial commercial customers.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$0.4 million decrease in wholesale gross margin was driven by a $1.3 million decrease in other wholesale sales, which was partially offset by a $0.9 million increase related to our tank exchange and reseller business.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Margin per gallon for the quarter increased by $0.06 or 5%, compared to the prior year period as we continue to benefit from operational efficiencies as we reduced unproductive deliveries and skipped stops.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Gross margin - other</w:t>
      </w:r>
    </w:p>
    <w:p>
      <w:pPr>
        <w:spacing w:after="0" w:line="11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$7.4 million, or 31%, compared to the prior year period, primarily due to the decrease in revenue noted above.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11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had operating income of $60.1 million and $87.3 million during the three months ended April 30, 2026 and 2025, respectively. The $27.2 million decrease was primarily due to increases of $29.0 million in “Operating expense – personnel, vehicle, plant and other” and $3.2 million in “Depreciation and amortization expense,” partially offset by the $2.2 million increase in gross margin noted above.</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$29.0 million increase in “Operating expense – personnel, vehicle, plant and other” relates to increases of $24.7 million in plant and other, $3.6 million in vehicle expense and $0.7 million in personnel expense. The resolution of legacy casualty claims drove an increase of $24.8 million in legal costs in plant and other. The Company does not expect most of these settlement costs to recur in future periods. The increase in vehicle expense was primarily due to increases of $2.2 million in fuel costs and $1.2 million for repairs and maintenance.</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$3.2 million increase in “Depreciation and amortization expense” relates to increases of $1.9 million in amortization expense, primarily related to the expansion of vending machine leases for our tank exchange business, and $1.3 million in depreciation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Adjusted EBITDA decreased $12.7 million, or 11%, to $102.1 million, compared to $114.8 million in the third quarter of the prior year. After adjusting for $12.3 million in non-recurring costs primarily related to settlements, operating expenses increased $16.7 million compared to the prior year period. This increase was partially offset by the $2.2 million increase in gross profit noted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for the nine months ended April 30, 2026 and 2025</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propane sales volumes and Adjusted EBITDA results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1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Retail customers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Tank exchange selling locations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Propane sales volumes (gallons):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(13,886)</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656,243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Revenues -</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spacing w:after="0" w:line="20" w:lineRule="exact"/>
              <w:rPr>
                <w:sz w:val="1"/>
                <w:szCs w:val="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8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1,025,412</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1,078,412</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(11,705)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 Gas Sales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(6,119)</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(2,722)</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Propane and related equipment revenues</w:t>
            </w:r>
          </w:p>
        </w:tc>
        <w:tc>
          <w:tcPr>
            <w:tcW w:w="3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1,521,162</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1,594,708</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Propane and other gas liquids sales gross margin: </w:t>
            </w:r>
            <w:r>
              <w:rPr>
                <w:rFonts w:ascii="Times New Roman" w:cs="Times New Roman" w:eastAsia="Times New Roman" w:hAnsi="Times New Roman"/>
                <w:sz w:val="25"/>
                <w:szCs w:val="25"/>
                <w:color w:val="auto"/>
                <w:vertAlign w:val="superscript"/>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Retail - Sales to End Users </w:t>
            </w:r>
            <w:r>
              <w:rPr>
                <w:rFonts w:ascii="Times New Roman" w:cs="Times New Roman" w:eastAsia="Times New Roman" w:hAnsi="Times New Roman"/>
                <w:sz w:val="25"/>
                <w:szCs w:val="25"/>
                <w:color w:val="auto"/>
                <w:vertAlign w:val="superscript"/>
              </w:rPr>
              <w:t>(2)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579,290</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570,293</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Wholesale - Sales to Resellers </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related equipment gross profit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836,985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831,917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spacing w:after="0" w:line="20" w:lineRule="exact"/>
              <w:rPr>
                <w:sz w:val="1"/>
                <w:szCs w:val="1"/>
                <w:color w:val="auto"/>
              </w:rPr>
            </w:pP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general and administrative expense </w:t>
            </w:r>
            <w:r>
              <w:rPr>
                <w:rFonts w:ascii="Times New Roman" w:cs="Times New Roman" w:eastAsia="Times New Roman" w:hAnsi="Times New Roman"/>
                <w:sz w:val="25"/>
                <w:szCs w:val="25"/>
                <w:color w:val="auto"/>
                <w:vertAlign w:val="superscript"/>
              </w:rPr>
              <w:t>(5)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543,141</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645,667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(102,526)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(3,808)</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92,007</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employee benefit policy adjustment</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20"/>
                <w:szCs w:val="2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Legal fees and settlements related to non-core businesses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(130,633)</w:t>
            </w:r>
          </w:p>
        </w:tc>
        <w:tc>
          <w:tcPr>
            <w:tcW w:w="180" w:type="dxa"/>
            <w:vAlign w:val="bottom"/>
          </w:tcPr>
          <w:p>
            <w:pPr>
              <w:spacing w:after="0"/>
              <w:rPr>
                <w:sz w:val="18"/>
                <w:szCs w:val="18"/>
                <w:color w:val="auto"/>
              </w:rPr>
            </w:pP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settlements related to core businesses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and related costs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Unit conversion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Compliance costs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transformation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73" w:lineRule="exact"/>
        <w:rPr>
          <w:sz w:val="20"/>
          <w:szCs w:val="20"/>
          <w:color w:val="auto"/>
        </w:rPr>
      </w:pPr>
    </w:p>
    <w:p>
      <w:pPr>
        <w:jc w:val="both"/>
        <w:ind w:left="380" w:right="79" w:hanging="330"/>
        <w:spacing w:after="0" w:line="272"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the first quarter of fiscal 2026, we refined our methodology for determining active customers to better align with business initiatives and internal reporting. The updated approach identifies customers based on invoiced billing activity from all revenue streams including rent, services, fees, and appliance sales, in addition to propane delivery. It also captures unique delivery locations, rather than billing accounts. Management believes this provides a more meaningful measure of customer activity. Prior period amounts have been updated to reflect this change. The revision did not affect any financial metrics.</w:t>
      </w:r>
    </w:p>
    <w:p>
      <w:pPr>
        <w:spacing w:after="0" w:line="19" w:lineRule="exact"/>
        <w:rPr>
          <w:rFonts w:ascii="Times New Roman" w:cs="Times New Roman" w:eastAsia="Times New Roman" w:hAnsi="Times New Roman"/>
          <w:sz w:val="16"/>
          <w:szCs w:val="16"/>
          <w:color w:val="auto"/>
        </w:rPr>
      </w:pPr>
    </w:p>
    <w:p>
      <w:pPr>
        <w:ind w:left="380" w:right="79" w:hanging="330"/>
        <w:spacing w:after="0" w:line="301"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for “Other Gas Sales” is allocated to Gross margin “Retail - Sales to End Users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“Wholesale - Sales to Resellers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based on the volumes in each respective category.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primarily includes various customer fee income and to a lesser extent appliance and material sales.</w:t>
      </w:r>
    </w:p>
    <w:p>
      <w:pPr>
        <w:sectPr>
          <w:pgSz w:w="11900" w:h="16838" w:orient="portrait"/>
          <w:cols w:equalWidth="0" w:num="1">
            <w:col w:w="9019"/>
          </w:cols>
          <w:pgMar w:left="1440" w:top="513" w:right="1440" w:bottom="144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79" w:hanging="330"/>
        <w:spacing w:after="0" w:line="301" w:lineRule="auto"/>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from “Propane and other gas liquids sales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represents “Revenues - Propane and other gas liquids sales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less “Cost of sales - Propane and other gas liquids sales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does not include depreciation and amortization.</w:t>
      </w:r>
    </w:p>
    <w:p>
      <w:pPr>
        <w:ind w:left="380" w:right="79" w:hanging="330"/>
        <w:spacing w:after="0" w:line="298" w:lineRule="auto"/>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general and administrative expense” above includes both the “Operating expense – personnel, vehicle, plant and other” and the “General and administrative expense” captions in the condensed consolidated statement of operations.</w:t>
      </w:r>
    </w:p>
    <w:p>
      <w:pPr>
        <w:spacing w:after="0" w:line="16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Propane sales volumes during the nine months ended April 30, 2026 decreased 23.6 million gallons, or 4%, compared to the prior year period. Above-normal temperatures experienced in the second quarter 2026 continued to be a factor in the third quarter 2026. Average temperatures (measured by heating degree days) were 18% warmer than normal (based on AccuWeather’s ten-year average) and 23% warmer than fiscal 2025 in the western half of the country. Other areas of the country, such as our Northeast and North Central regions, had temperatures that were 13% cooler than the prior year period, which were partially offset by temperatures that were 4% warmer than the prior year period in the midwest and southeast regions.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wholesale sales price per gallon partially correlates to the change in the wholesale market price of propane. The wholesale market price at major supply points in Mt. Belvieu, Texas during the nine months ended April 30, 2026 averaged 12.5% less than the prior year period, while at the Conway, Kansas major supply point prices averaged 16.9% less than the prior year period. The wholesale market price at Mt. Belvieu, Texas averaged $0.70 and $0.80 per gallon during the nine months ended April 30, 2026 and 2025, respectively, while the wholesale market price at Conway, Kansas averaged $0.64 and $0.77 per gallon during the nine months ended April 30, 2026 and 2025,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Retail sales decreased $53.0 million, or 5%, compared to the prior year period largely driven by the decrease in wholesale propane prices noted above. Retail gallons sold decreased 9.7 million gallons, or 2%, compared to the prior year period. The third fiscal quarter 2026 saw a continuation of above-average temperatures in the west, which drove a 13.7 million decrease in gallons sold, which was partially offset by a 4.0 million increase in gallons sold in the rest of the country. While retail customers decreased 1% compared to the prior year period contributing to the decrease in sales, the Company’s continued focus on service quality and customer experience resulted in improved retention over the prior year period. Regained accounts increased meaningfully compared to the prior year period, a strong indicator of improving win-back execution, while new location activity showed momentum in the north central and midwest regions.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Wholesale sales decreased $11.7 million, or 3%, compared to the prior year period, largely driven by the decrease in wholesale propane prices noted above. Wholesale gallons sold decreased 13.9 million gallons, or 8%, compared to the prior year period. Results were impacted by a $3.5 million decrease in tank exchange sales, partly attributable to the fiscal 2025 demand driven by Hurricane Helene and Hurricane Milton, which was partially offset by a 2% increase in tank exchange selling locations. So far, fiscal 2026 has not had any significant weather-related events.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Other gas sales decreased $6.1 million, or 31%, compared to the prior year period primarily due to a decrease in sales volume.</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Other revenues decreased $2.7 million, or 3%, compared to the prior year period. The decrease was primarily due to a $1.7 million decrease in appliance and part sales and a $1.1 million decrease in miscellaneous revenue.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Gross margin - Propane and other gas liquids sales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$6.6 million, or 1%, due to an increase of $9.0 million, or 2%, in retail gross margin, which was partially offset by a decrease of $2.4 million, or 1%, in wholesale gross margin. The overall increase was driven by a $77.4 million decrease in cost of product sold, partially offset by a $70.8 million decrease in revenue.</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Retail gross margin increased $9.0 million and was primarily driven by an increase of $33.9 million, or 11%, related to residential customers, which was partially offset by a $15.7 million decrease related to industrial commercial customers and hedging activity.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$2.4 million decrease in wholesale gross margin was primarily related to our tank exchange business.</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Margin per gallon for the quarter increased by $0.06, or 5%, compared to the prior year period due to the factors noted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Gross margin - other</w:t>
      </w:r>
    </w:p>
    <w:p>
      <w:pPr>
        <w:spacing w:after="0" w:line="11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$1.5 million, or 2%, compared to the prior year period, primarily due to the decrease in revenues noted above.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11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had operating income of $198.1 million and $92.0 million during the nine months ended April 30, 2026 and 2025, respectively. The $106.1 million increase was primarily due to the $125.0 million legal settlement related to fiscal 2025 in “General and administrative expense.” The remaining decrease of $18.9 million relates to an increase of $30.2 million in “Operating expense – personnel, vehicle, plant and other,” partially offset by an additional $7.7 million decrease in “General and administrative expense” and the $5.1 million increase in gross margin described above.</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$30.2 million increase in “Operating expense – personnel, vehicle, plant and other” is comprised of increases of $26.8 million in plant and other and $5.0 million in vehicle expense, which were partially offset by a decrease of $1.6 million in personnel expense.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$26.8 million increase in plant and other was primarily due to the resolution of legacy casualty claims, which drove an increase of $25.1 million in general liability insurance and legal costs. The Company does not expect most of these settlement costs to recur in future periods.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increase in vehicle expense was primarily due to increases of $2.1 million for repairs and maintenance and $2.0 million in fuel costs.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additional decrease of $7.7 million in “General and administrative expense” primarily relates to decreases in information technology costs, due to the completion of several business transformation projects in fiscal 2025, and $3.1 million related to other accruals.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w:t>
      </w:r>
    </w:p>
    <w:p>
      <w:pPr>
        <w:spacing w:after="0" w:line="11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Adjusted EBITDA decreased $10.1 million primarily due to an increase of $22.4 million in “Operating expense – personnel, vehicle, plant and other,” after adjusting for $7.8 million in non-recurring costs primarily related to settlements, which was partially offset by a $5.1 million increase in gross margin, a $3.8 million decrease in operating lease expense, and a $3.5 million decrease in “General and administrative expense,” after adjusting for a $129.3 million decrease in EBITDA adjustments, primarily related to the $125.0 million legal settlement noted above that occurred in fiscal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flows from operating activities, our Credit Facility and funds received from sales of debt and equity securities. The operating partnership, the general partner and certain of the operating partnership’s subsidiaries as guarantors are parties to a credit agreement dated March 30, 2021, as amended on October 27, 2025 (the “Credit Agreement”), with JPMorgan Chase Bank, N.A. as administrative agent and collateral agent, and the lenders and issuing lenders party thereto from time to time, which provides for a revolving credit facility (the “Credit Facility”), with a maturity date of October 27, 2028, in an aggregate principal amount of up to $350.0 million. An accordion feature allows for increases by up to $50.0 million in the aggregate subject to customary conditions. The Credit Agreement includes a sublimit not to exceed $300.0 million for the issuance of letters of credit. For additional discussion, see Note D “Debt” in the notes to our condensed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83"/>
        <w:spacing w:after="0" w:line="256" w:lineRule="auto"/>
        <w:rPr>
          <w:sz w:val="20"/>
          <w:szCs w:val="20"/>
          <w:color w:val="auto"/>
        </w:rPr>
      </w:pPr>
      <w:r>
        <w:rPr>
          <w:rFonts w:ascii="Times New Roman" w:cs="Times New Roman" w:eastAsia="Times New Roman" w:hAnsi="Times New Roman"/>
          <w:sz w:val="18"/>
          <w:szCs w:val="18"/>
          <w:color w:val="auto"/>
        </w:rPr>
        <w:t>As of April 30, 2026, our total liquidity was $219.7 million, which was comprised of $73.4 million in unrestricted cash and $146.3 million of availability under our Credit Facility. These sources of liquidity and short-term capital resources are intended to fund our working capital requirements, acquisitions and capital expenditures. As of April 30, 2026, letters of credit outstanding totaled $116.2 million. Our access to long-term capital resources, to the extent needed to refinance debt or for other purposes, may be affected by our ability to access the capital markets, covenants in our debt agreements and other financial obligations, unforeseen demands on cash, or other events beyond our control.</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are subject to, among other things, the price of propane, delays in the collection of receivables, volatility in energy commodity prices, liquidity imposed by insurance providers, downgrades in our credit ratings, decreased trade credit, significant acquisitions, the weather, customer retention and purchasing patterns and other changes in the demand for propane. Relatively colder weather or higher propane prices during the winter heating season are factors that could significantly increase our working capital requirements.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October 2025, the operating partnership’s corporate rating was upgraded from B3 to B2 by Moody’s Investors Service (“Moody’s”) and our senior unsecured notes were upgraded from a Caa1 to a B3 rating by Moody’s. In October 2025, the operating partnership’s senior unsecured notes rating was upgraded from a CCC to a B rating by S&amp;P Global Ratings.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satisfy our obligations is dependent upon our future performance, which will be subject to prevailing weather, economic, financial and business conditions and other factors, many of which are beyond our control. Due to the seasonality of the retail propane distribution business, a significant portion of our propane operations and related products cash flows from operations is generated during the winter heating season. Our net cash provided by operating activities primarily reflects earnings from our business activities adjusted for depreciation and amortization and changes in our working capital accounts. Historically, we generate significantly lower net cash from operating activities in our first and fourth fiscal quarters as compared to the second and third fiscal quarters due to the seasonality of our propane operations and related equipment sales operations.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periods of high volatility, our risk management activities may expose us to the risk of counterparty margin calls in amounts greater than we have the capacity to fund. Likewise, our counterparties may not be able to fulfill their margin calls from us or may default on the settlement of positions with us.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liquidity available from cash flows from operating activities, unrestricted cash and the Credit Facility will be sufficient to meet our capital expenditure, working capital and letter of credit requirements for the foreseeable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Distributable Cash Flow</w:t>
      </w:r>
    </w:p>
    <w:p>
      <w:pPr>
        <w:spacing w:after="0" w:line="12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Distributable cash flow attributable to equity investors is reconciled to net earnings attributable to Ferrellgas Partners, L.P., the most directly comparable GAAP measure, in this Item 2. Management’s Discussion and Analysis of Financial Condition and Results of Operations under the subheading “Non-GAAP Financial Measures” above. A comparison of distributable cash flow attributable to equity investors to cash distributions accrued or paid to equity investors for the twelve months ended April 30, 2026 to the twelve months ended January 31, 2026 is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right="1400"/>
        <w:spacing w:after="0" w:line="268" w:lineRule="auto"/>
        <w:rPr>
          <w:sz w:val="20"/>
          <w:szCs w:val="20"/>
          <w:color w:val="auto"/>
        </w:rPr>
      </w:pPr>
      <w:r>
        <w:rPr>
          <w:rFonts w:ascii="Times New Roman" w:cs="Times New Roman" w:eastAsia="Times New Roman" w:hAnsi="Times New Roman"/>
          <w:sz w:val="18"/>
          <w:szCs w:val="18"/>
          <w:color w:val="auto"/>
        </w:rPr>
        <w:t>Nine months ended April 30, 2026 Fiscal 2025</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Less: Nine months ended April 30, 2025</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2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3"/>
                <w:szCs w:val="13"/>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Cash reserves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DCF</w:t>
            </w:r>
          </w:p>
        </w:tc>
        <w:tc>
          <w:tcPr>
            <w:tcW w:w="0" w:type="dxa"/>
            <w:vAlign w:val="bottom"/>
          </w:tcPr>
          <w:p>
            <w:pPr>
              <w:spacing w:after="0"/>
              <w:rPr>
                <w:sz w:val="1"/>
                <w:szCs w:val="1"/>
                <w:color w:val="auto"/>
              </w:rPr>
            </w:pPr>
          </w:p>
        </w:tc>
      </w:tr>
      <w:tr>
        <w:trPr>
          <w:trHeight w:val="157"/>
        </w:trPr>
        <w:tc>
          <w:tcPr>
            <w:tcW w:w="3760" w:type="dxa"/>
            <w:vAlign w:val="bottom"/>
            <w:gridSpan w:val="7"/>
          </w:tcPr>
          <w:p>
            <w:pPr>
              <w:jc w:val="right"/>
              <w:ind w:right="80"/>
              <w:spacing w:after="0" w:line="157" w:lineRule="exact"/>
              <w:rPr>
                <w:sz w:val="20"/>
                <w:szCs w:val="20"/>
                <w:color w:val="auto"/>
              </w:rPr>
            </w:pPr>
            <w:r>
              <w:rPr>
                <w:rFonts w:ascii="Times New Roman" w:cs="Times New Roman" w:eastAsia="Times New Roman" w:hAnsi="Times New Roman"/>
                <w:sz w:val="14"/>
                <w:szCs w:val="14"/>
                <w:b w:val="1"/>
                <w:bCs w:val="1"/>
                <w:color w:val="auto"/>
              </w:rPr>
              <w:t>cash flow attributable approved by our accrued or paid to</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to equity investors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investors</w:t>
            </w:r>
          </w:p>
        </w:tc>
        <w:tc>
          <w:tcPr>
            <w:tcW w:w="520" w:type="dxa"/>
            <w:vAlign w:val="bottom"/>
          </w:tcPr>
          <w:p>
            <w:pPr>
              <w:jc w:val="center"/>
              <w:spacing w:after="0" w:line="178" w:lineRule="exact"/>
              <w:rPr>
                <w:sz w:val="20"/>
                <w:szCs w:val="20"/>
                <w:color w:val="auto"/>
              </w:rPr>
            </w:pPr>
            <w:r>
              <w:rPr>
                <w:rFonts w:ascii="Times New Roman" w:cs="Times New Roman" w:eastAsia="Times New Roman" w:hAnsi="Times New Roman"/>
                <w:sz w:val="14"/>
                <w:szCs w:val="14"/>
                <w:b w:val="1"/>
                <w:bCs w:val="1"/>
                <w:color w:val="auto"/>
                <w:w w:val="91"/>
              </w:rPr>
              <w:t xml:space="preserve">ratio </w:t>
            </w:r>
            <w:r>
              <w:rPr>
                <w:rFonts w:ascii="Times New Roman" w:cs="Times New Roman" w:eastAsia="Times New Roman" w:hAnsi="Times New Roman"/>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192,612</w:t>
            </w: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144,972</w:t>
            </w: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47,640</w:t>
            </w:r>
          </w:p>
        </w:tc>
        <w:tc>
          <w:tcPr>
            <w:tcW w:w="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64,068</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214,243</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48,086</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-419100</wp:posOffset>
            </wp:positionV>
            <wp:extent cx="564896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-136525</wp:posOffset>
            </wp:positionV>
            <wp:extent cx="56489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720"/>
            <w:col w:w="435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5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Twelve months ended April 30, 2026</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186,544</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122,922</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63,622</w:t>
            </w:r>
          </w:p>
        </w:tc>
        <w:tc>
          <w:tcPr>
            <w:tcW w:w="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2.9x</w:t>
            </w:r>
          </w:p>
        </w:tc>
      </w:tr>
      <w:tr>
        <w:trPr>
          <w:trHeight w:val="196"/>
        </w:trPr>
        <w:tc>
          <w:tcPr>
            <w:tcW w:w="4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Twelve months ended January 31, 2026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205,173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63,888</w:t>
            </w:r>
          </w:p>
        </w:tc>
        <w:tc>
          <w:tcPr>
            <w:tcW w:w="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3.2x</w:t>
            </w:r>
          </w:p>
        </w:tc>
      </w:tr>
      <w:tr>
        <w:trPr>
          <w:trHeight w:val="21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(18,629)$</w:t>
            </w:r>
          </w:p>
        </w:tc>
        <w:tc>
          <w:tcPr>
            <w:tcW w:w="12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(18,363)$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(0.3)x</w:t>
            </w:r>
          </w:p>
        </w:tc>
      </w:tr>
      <w:tr>
        <w:trPr>
          <w:trHeight w:val="20"/>
        </w:trPr>
        <w:tc>
          <w:tcPr>
            <w:tcW w:w="4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40" w:lineRule="exact"/>
        <w:rPr>
          <w:sz w:val="20"/>
          <w:szCs w:val="20"/>
          <w:color w:val="auto"/>
        </w:rPr>
      </w:pPr>
    </w:p>
    <w:p>
      <w:pPr>
        <w:ind w:left="380" w:right="79" w:hanging="330"/>
        <w:spacing w:after="0" w:line="298" w:lineRule="auto"/>
        <w:tabs>
          <w:tab w:leader="none" w:pos="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DCF ratio is calculated as Distributable cash flow attributable to equity investors divided by Cash distributions accrued or paid to equity investors.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For the twelve months ended April 30, 2026, distributable cash flow attributable to equity investors decreased $18.6 million compared to the twelve months ended January 31, 2026 primarily due to a decrease of $12.7 million in Adjusted EBITDA, partially offset by decreases of $6.5 million in “Net cash interest expense” and $0.9 million in “Maintenance capital expenditures.” As of April 30, 2026, the accrued quarterly distribution to Preferred Unitholders was $17.9 million, net of tax. We paid $16.7 million of this distribution to holders, net of tax, on May 15, 2026. The remaining $1.2 million represents Additional Amounts payable to certain holders of Preferred Units, pursuant to the side letters outlined in the OpCo LPA Amendment.</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did not pay any cash distributions to our Class A Unitholders or the general partner during the nine months ended April 30, 2026 and 2025, respectively. In March 2026, we made a final distribution to our Class B Unitholders of approximately $107.0 million. We have made aggregate cash distributions of approximately $357.0 million to our Class B Unitholders since inception of our Class B Units. We subsequently converted all Class B Units to Class A Units on March 16, 2026. See Note F “Equity (Deficit)” in the notes to our condensed consolidated financial statements for more information. Cash reserves, which we utilize to meet future anticipated expenditures, were $122.9 million and $141.3 million for the twelve months ended April 30, 2026 and January 31, 2026,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11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$150.7 million and $116.6 million for the nine months ended April 30, 2026 and 2025, respectively. The $34.1 million increase in cash provided by operating activities was primarily due to a $98.1 million increase in operating cash flow and a $28.8 million decrease in requirements for accrued interest, which was offset by a $84.5 million decrease in requirements for other current liabilities, and a $7.4 million outflow associated with other assets and liabilities.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$98.8 million increase in operating cash flow was driven by a decrease of $132.7 million in “General and administrative expense,” primarily related to a $125.0 million prior year settlement agreement, which was partially offset by an increase of $30.2 million in “Operating expense – personnel, vehicle, plant and other,” primarily related to the resolution of legacy general liability claims. The $84.5 million decrease in net cash requirements for other current liabilities was primarily driven by $75.0 million in litigation settlement payments.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11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$150.8 million and $116.7 million for the nine months ended April 30, 2026 and 2025, respectively. The $34.1 million increase in cash provided by operating activities was primarily due to a $99.9 million increase in operating cash flow and a $28.8 million decrease in requirements for accrued interest, which was offset by a $85.1 million decrease in requirements for other current liabilities, and an $8.4 million outflow associated with other assets and liabilities.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$99.9 million increase in operating cash flow was driven by a decrease of $134.7 million in “General and administrative expense,” primarily related to a $125.0 million prior year settlement agreement, which was partially offset by an increase of $30.2 million in “Operating expense – personnel, vehicle, plant and other,” primarily related to the resolution of legacy general liability claims. The $85.1 million decrease in net cash requirements for other current liabilities was primarily driven by $75.0 million in litigation settlement payments.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Capital Requirements</w:t>
      </w:r>
    </w:p>
    <w:p>
      <w:pPr>
        <w:spacing w:after="0" w:line="11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business requires continual investments to upgrade or enhance existing operations and to ensure compliance with safety and environmental regulations. Capital expenditures for our business consist primarily of:</w:t>
      </w:r>
    </w:p>
    <w:p>
      <w:pPr>
        <w:spacing w:after="0" w:line="54" w:lineRule="exact"/>
        <w:rPr>
          <w:sz w:val="20"/>
          <w:szCs w:val="20"/>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capital expenditures - These capital expenditures include expenditures for betterment and replacement of property, plant and equipment, and may from time to time include the purchase of assets that are typically leased, rather than to generate incremental distributable cash flow. Examples of maintenance capital expenditures include a routine replacement of a worn-out asset or replacement of major vehicle components; and</w:t>
      </w:r>
    </w:p>
    <w:p>
      <w:pPr>
        <w:sectPr>
          <w:pgSz w:w="11900" w:h="16838" w:orient="portrait"/>
          <w:cols w:equalWidth="0" w:num="1">
            <w:col w:w="9019"/>
          </w:cols>
          <w:pgMar w:left="1440" w:top="513" w:right="1440" w:bottom="1440" w:gutter="0" w:footer="0" w:header="0"/>
        </w:sect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720" w:right="7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capital expenditures - These expenditures are undertaken primarily to generate incremental distributable cash flow. Examples include expenditures for purchases of both bulk and portable propane tanks and other equipment to facilitate expansion of our customer base and operating capacity.</w:t>
      </w:r>
    </w:p>
    <w:p>
      <w:pPr>
        <w:spacing w:after="0" w:line="176"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$70.4 million and $69.8 million for the nine months ended April 30, 2026 and 2025, respectively. The $0.6 million increase in net cash used in investing activities was primarily due to a decrease of $3.8 million in “Business acquisitions, net of cash acquired.” We had no acquisitions during the nine months ended April 30, 2026 and one acquisition during the nine months ended April 30, 2025. This decrease was partially offset by a $3.6 million increase in “Capital expenditures,” primarily driven by assets related to failed sale-leaseback arrangements.</w:t>
      </w:r>
    </w:p>
    <w:p>
      <w:pPr>
        <w:spacing w:after="0" w:line="183" w:lineRule="exact"/>
        <w:rPr>
          <w:sz w:val="20"/>
          <w:szCs w:val="20"/>
          <w:color w:val="auto"/>
        </w:rPr>
      </w:pPr>
    </w:p>
    <w:p>
      <w:pPr>
        <w:jc w:val="both"/>
        <w:ind w:left="60" w:right="59" w:firstLine="396"/>
        <w:spacing w:after="0" w:line="266" w:lineRule="auto"/>
        <w:rPr>
          <w:sz w:val="20"/>
          <w:szCs w:val="20"/>
          <w:color w:val="auto"/>
        </w:rPr>
      </w:pPr>
      <w:r>
        <w:rPr>
          <w:rFonts w:ascii="Times New Roman" w:cs="Times New Roman" w:eastAsia="Times New Roman" w:hAnsi="Times New Roman"/>
          <w:sz w:val="18"/>
          <w:szCs w:val="18"/>
          <w:color w:val="auto"/>
        </w:rPr>
        <w:t>Due to the mature nature of our operations, we do not anticipate significant fluctuations in maintenance capital expenditures, with the exception of future decisions regarding lease versus buy financing options. However, future fluctuations in growth capital expenditures could occur due to the opportunistic nature of these projects.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investing activities discussed above also apply to the operating partnership.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11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$103.8 million and $61.6 million for the nine months ended April 30, 2026 and 2025, respectively. The $42.2 million increase in cash used in financing activities was primarily due to a $107.0 million distribution to the Company’s Class B Unitholders. The Class B Units were subsequently converted into Class A Units. See above for more information. In October 2025, the partnership issued $650.0 million aggregate principal amount of senior notes due 2031. The net proceeds received of $637.5 million, together with cash on hand, was used to redeem the $650.0 million senior notes due 2026, which is reflected in the proceeds from issuance of long-term debt and payments for settlement and early extinguishment of liabilities. Additionally, we had an increase of $87.5 million in short-term borrowings. The short-term borrowings were drawn for cash management purposes following expenses related to refinancing and litigation settlements. The overall increase was partially offset by an increase of $11.8 million in financing costs, driven by the October 2025 refinancing transaction, and $5.7 million in higher cash payments for the principal portion of lease liabilities.</w:t>
      </w:r>
    </w:p>
    <w:p>
      <w:pPr>
        <w:spacing w:after="0" w:line="19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Letters of credit outstanding at April 30, 2026 and July 31, 2025 totaled $116.2 million and $121.9 million, respectively. The letters of credit were used to secure insurance arrangements, product purchases and commodity hedges. As of April 30, 2026, we had available borrowing capacity under our Credit Facility of $146.3 million. Propane assets subject to lien under the Credit Facility were $400.3 million as of April 30, 2026.</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financing activities discussed above also apply to the operating partnership.</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11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Sixth Amended and Restated Agreement of Limited Partnership of Ferrellgas Partners, L.P. (the “Amended Ferrellgas Partners LPA”) requires Ferrellgas Partners to make quarterly cash distributions of all of its “available cash”. Available cash is defined in the Amended Ferrellgas Partners LPA as, generally, the sum of Ferrellgas Partners’ cash receipts less consolidated cash disbursements and net changes in reserves established by our general partner for future requirements. In general, the amount of Ferrellgas Partners’ available cash depends primarily on whether and the extent to which Ferrellgas Partners receives cash distributions from the operating partnership, as such distributions generally would be Ferrellgas Partners’ only significant cash receipts.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Fifth Amended and Restated Agreement of Limited Partnership of Ferrellgas, L.P. (the “Amended OpCo LPA”), which amended and restated in its entirety the Fourth Amended and Restated Agreement of Limited Partnership of Ferrellgas L.P., and a First Amendment to the Amended OpCo LPA (the “OpCo LPA Amendment”), sets forth the preferences, rights, privileges and other terms of the Preferred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Ferrellgas Partners LPA, while any Class B Units remained outstanding, any distributions by Ferrellgas Partners to its partners were to be made such that the ratio of (i) the amount of distributions made to holders of Class B Units to (ii) the amount of distributions made to holders of Class A Units and the general partner was not less than 6:1. All Class B Units were converted into Class A Units on March 16, 2026. For additional information, see Note F “Equity (Deficit)” in the notes to our condensed consolidated financial statements.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Ferrellgas Partners did not declare or pay any distributions to its Class A Unitholders or the general partner during the nine months ended April 30, 2026 and 2025. On March 16, 2026, Ferrellgas Partners made a cash distribution in the aggregate amount of approximately $107.0 million to its Class B Unitholders. See Note F “Equity (Deficit)” in the notes to our condensed consolidated financial statements for additional information. No distributions were paid to Class B Unitholders during the nine months ended April 30, 2025.</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Ferrellgas Partners made aggregate cash distributions of approximately $357.0 million to its Class B Unitholders since inception of its Class B Units in fiscal 2022. See Note M “Net (loss) earnings per unitholders’ interest” for additional information.</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ability of Ferrellgas Partners to make cash distributions to its Class A Unitholders is dependent on the receipt by Ferrellgas Partners of cash distributions from the operating partnership. For so long as any Preferred Units remain outstanding, the amount of cash that otherwise would be available for distribution by the operating partnership to Ferrellgas Partners will be reduced by the amount of cash distributions and other payments made by the operating partnership in respect of the Preferred Units, including payments to redeem Preferred Units. Further, the indentures governing the 2026 Notes and the 2029 Notes (together with the 2026 Notes, the “OpCo Notes”), the Credit Agreement and the OpCo LPA Amendment governing the Preferred Units contain covenants that limit the ability of the operating partnership to make distributions to Ferrellgas Partners and therefore effectively limit the ability of Ferrellgas Partners to make distributions to its Class A Unitholders and Class B Unitholders. See Note D “Debt” and Note E “Preferred units” for a discussion of these limitations. In our Annual Report on Form 10-K for fiscal 2025, see also “Risk Factors—Risks Inherent in an Investment in our Class A or Class B Units or our Debt Securities and Other Risks Related to Our Capital Structure and Financing Arrangements—Restrictive covenants in the Indentures, the Credit Agreement and the agreements governing our other future indebtedness and other financial obligations may reduce our operating flexibility and ability to make cash distributions to holders of Class A Units and Class B Units. The Indentures, the Credit Agreement and the OpCo LPA Amendment contain important exceptions to these covenants.”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Preferred unit distributions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Pursuant to the OpCo LPA Amendment, the operating partnership is required to pay to the holders of each Preferred Unit a cumulative, quarterly distribution (the “Quarterly Distribution”) at the Distribution Rate (as defined below) on the unit purchase price of such Preferred Unit, which is $1,000 per unit.</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“Distribution Rate” means a rate per annum of (a) 8.956% through March 30, 2026, (b) 9.706% for the four-quarter period ending March 30, 2027, (c) 10.456% for the four-quarter period ending March 30, 2028, and (d) 11.125% for all periods after March 30, 2028, subject to a maximum rate of 11.125% and to other adjustments and exceptions described in the following paragraphs.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Quarterly Distribution may be paid in cash or, at the election of the operating partnership, “in kind” through the issuance of additional Preferred Units (“PIK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Distribution Rate on the Preferred Units will increase upon violation of certain protective provisions for the benefit of Preferred Unitholders notwithstanding the cap mentioned above.</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15, 2025 and February 17, 2026, $15.4 million of the Quarterly Distribution, net of tax, was paid in cash to holders of Preferred Units. On May 15, 2026, $16.7 million of the Quarterly Distribution, net of tax, was paid in cash to holders of Preferred Units. As of April 30, 2026, the Quarterly Distribution accrued was $17.9 million. The remaining Quarterly Distribution accrual of $1.2 million represents Additional Amounts payable to certain holders of Preferred Units pursuant to the side letters outlined in the OpCo LPA Amendment.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November 15, 2024, February 15, 2025, and May 15, 2025, $15.4 million of the Quarterly Distribution, net of tax, was paid in cash to holders of Preferred Units. As of April 30, 2025, the Quarterly Distribution accrued was $17.0 million. The remaining Quarterly Distribution accrual of $1.6 million represents Additional Amounts payable to certain holders of Preferred Units pursuant to the side letters.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Preferred unit tax distributions</w:t>
      </w:r>
    </w:p>
    <w:p>
      <w:pPr>
        <w:spacing w:after="0" w:line="11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For any quarter in which the operating partnership makes a Quarterly Distribution in PIK Units in lieu of cash, it shall make a subsequent cash tax distribution for such quarter in an amount equal to the (i) the lesser of (x) 25% and (y) the highest combined federal, state and local tax rate applicable for corporations organized in New York, multiplied by (ii) the excess (if any) of (A) one-fourth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Disclosures about Effects of Transactions with Related Parties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no employees and are managed and controlled by our general partner. Pursuant to our partnership agreements,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$267.5 million for the nine months ended April 30, 2026, include operating expenses such as compensation and benefits paid to employees of our general partner who perform services on our behalf as well as related general and administrative expenses.</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April 30, 2026 and 2025, the operating partnership paid distributions to Ferrellgas Partners as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April 30, 2026, there have been no material changes to our material cash requirements from those described under “Management’s Discussion and Analysis of Financial Condition and Results of Operations—Material Cash Requirements” in our Annual Report on Form 10-K for fiscal 2025, except for the October 2025 refinancing transaction disclosed in our Quarterly Report on Form 10-Q for the quarter ended October 31, 2025. For additional information regarding our debt obligations, see Note D “Debt” to our condensed consolidated financial statements.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contractual obligations discussed above also apply to the operating partnership.</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did not enter into any risk management trading activities during the nine months ended April 30, 2026. Our remaining market risk sensitive instruments and positions have been determined to be “other than trading.”</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Commodity price risk management</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risk management activities primarily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Our propane related financial derivatives are designated as cash flow hedges.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risk management activities include the use of financial derivative instruments including, but not limited to, futures, swaps, and options to seek protection from adverse price movements and to minimize potential losses. We enter into these financial derivative instruments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sales exception within GAAP guidance and are therefore not recorded on our financial statements until settled.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Risk Policy and Sensitivity Analysis</w:t>
      </w:r>
    </w:p>
    <w:p>
      <w:pPr>
        <w:spacing w:after="0" w:line="11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Market risks associated with energy commodities are monitored daily by senior management for compliance with our commodity risk management policy. This policy includes an aggregate dollar loss limit and limits on the term of various contracts. We also utilize volume limits for various energy commodities and review our positions daily where we remain exposed to market risk, so as to manage exposures to changing market prices.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prepared a sensitivity analysis to estimate the exposure to market risk of our energy commodity positions. Forward contracts, futures, swaps and options outstanding as of April 30, 2026 and July 31, 2025 that were used in our risk management activities were analyzed assuming a hypothetical 10% adverse change in prices for the delivery month for all energy commodities. The potential loss in future earnings from these positions due to a 10% adverse movement in market prices of the underlying energy commodities was estimated at $0.8 million and $12.4 million as of April 30, 2026 and July 31, 2025, respectively. The preceding hypothetical analysis is limited because changes in prices may or may not equal 10%, thus actual results may differ. Our sensitivity analysis does not include the anticipated transactions associated with these transactions, which we anticipate will be 100% effective.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maintain credit policies with regard to our counterparties that we believe significantly reduce overall credit risk. These policies include evaluating and monitoring our counterparties’ financial condition (including credit ratings), and entering into agreements with counterparties that govern credit guidelines.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other counterparties principally consist of major energy companies that are suppliers, marketers, wholesalers, retailers and end users; and major U.S. financial institutions. The overall impact due to certain changes in economic, regulatory and other events may impact our overall exposure to credit risk, either positively or negatively in that counterparties may be similarly impacted. Based on our policies, exposures, credit and other reserves, management does not anticipate a material adverse effect on financial position or results of operations as a result of counterparty performance.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had short-term borrowings of $87.5 million under our Credit Facility as of April 30, 2026. We had variable rate indebtedness outstanding related to our letters of credit under our Credit Facility of $116.2 million and $121.9 million as of April 30, 2026 and July 31, 2025, respectively. Our results of operations, cash flows and financial condition could be materially adversely affected by significant increases in interest rates to the extent that we have variable rate indebtedness (including any disbursements or payments related to letters of credit) outstanding under our Credit Facility.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1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disclosed under “Item 7 Management’s Discussion and Analysis of Financial Condition and Results of Operations—Critical Accounting Estimates” in our Form 10-K for fiscal 2025. During the nine months ended April 30, 2026, no modifications were made to these critical accounting estimates.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An evaluation was performed by the management of Ferrellgas Partners, L.P., Ferrellgas, L.P., Ferrellgas Partners Finance Corp., and Ferrellgas Finance Corp., with the participation of the principal executive officer and principal financial officer of our general partner, of the effectiveness of our disclosure controls and procedures. Based on that evaluation, our management, including our principal executive officer and principal financial officer, concluded that our disclosure controls and procedures, as defined in Rules 13a-15(e) or 15d-15(e) under the Exchange Act, were effective as of April 30, 2026.</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management of Ferrellgas Partners, L.P., Ferrellgas, L.P., Ferrellgas Partners Finance Corp., and Ferrellgas Finance Corp. does not expect that our disclosure controls and procedures will prevent all errors and all fraud. The design of a control system must reflect the fact that there are resource constraints, and the benefits of controls must be considered relative to their costs. Based on the inherent limitations in all control systems, no evaluation of controls can provide absolute assurance that all control issues and instances of fraud, if any, within the above mentioned partnerships and corporations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principal executive officer and principal financial officer of our general partner have concluded, as of April 30, 2026, that our disclosure controls and procedures are effective in achieving that level of reasonable assurance.</w:t>
      </w:r>
    </w:p>
    <w:p>
      <w:pPr>
        <w:spacing w:after="0" w:line="19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most recent fiscal quarter ended April 30, 2026, there have been no changes in our internal control over financial reporting (as defined in Rule 13a-15(f) or Rule 15d-15(f) of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K “Contingencies and commitments” in our condensed consolidated financial statements included in Item 1.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set forth under Part I, Item 1A. “Risk Factors” in our Annual Report on Form 10-K for fiscal 2025 and in our subsequent SEC filings.</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April 30, 2026, none of our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exhibits listed below are furnished as part of this Quarterly Report on Form 10-Q. Exhibits required by Item 601 of Regulation S-K of the Securities Act, which are not listed, are not applicable.</w:t>
      </w:r>
    </w:p>
    <w:p>
      <w:pPr>
        <w:spacing w:after="0" w:line="61"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color w:val="auto"/>
        </w:rPr>
        <w:t>​​</w:t>
      </w:r>
    </w:p>
    <w:p>
      <w:pPr>
        <w:spacing w:after="0" w:line="6" w:lineRule="exact"/>
        <w:rPr>
          <w:sz w:val="20"/>
          <w:szCs w:val="20"/>
          <w:color w:val="auto"/>
        </w:rPr>
      </w:pPr>
    </w:p>
    <w:p>
      <w:pPr>
        <w:ind w:left="60"/>
        <w:spacing w:after="0"/>
        <w:tabs>
          <w:tab w:leader="none" w:pos="1120" w:val="left"/>
          <w:tab w:leader="none" w:pos="4720" w:val="left"/>
        </w:tabs>
        <w:rPr>
          <w:sz w:val="20"/>
          <w:szCs w:val="20"/>
          <w:color w:val="auto"/>
        </w:rPr>
      </w:pPr>
      <w:r>
        <w:rPr>
          <w:rFonts w:ascii="Times New Roman" w:cs="Times New Roman" w:eastAsia="Times New Roman" w:hAnsi="Times New Roman"/>
          <w:sz w:val="14"/>
          <w:szCs w:val="14"/>
          <w:color w:val="auto"/>
        </w:rPr>
        <w:t>N</w:t>
      </w:r>
      <w:r>
        <w:rPr>
          <w:rFonts w:ascii="Times New Roman" w:cs="Times New Roman" w:eastAsia="Times New Roman" w:hAnsi="Times New Roman"/>
          <w:sz w:val="14"/>
          <w:szCs w:val="14"/>
          <w:b w:val="1"/>
          <w:bCs w:val="1"/>
          <w:color w:val="auto"/>
        </w:rPr>
        <w:t>umber</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5648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240" w:right="379" w:hanging="1184"/>
        <w:spacing w:after="0" w:line="249" w:lineRule="auto"/>
        <w:tabs>
          <w:tab w:leader="none" w:pos="4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8"/>
          <w:szCs w:val="18"/>
          <w:u w:val="single" w:color="auto"/>
          <w:color w:val="0000EE"/>
        </w:rPr>
        <w:t>Certification of Ferrellgas Partners, L.P. pursuant to Rule 13a-14(a) or Rule 15d-14(a) of the Exchange Act.</w:t>
      </w:r>
    </w:p>
    <w:p>
      <w:pPr>
        <w:ind w:left="1240" w:right="439" w:hanging="1184"/>
        <w:spacing w:after="0" w:line="250" w:lineRule="auto"/>
        <w:tabs>
          <w:tab w:leader="none" w:pos="4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8"/>
          <w:szCs w:val="18"/>
          <w:u w:val="single" w:color="auto"/>
          <w:color w:val="0000EE"/>
        </w:rPr>
        <w:t>Certification of Ferrellgas Partners Finance Corp. pursuant to Rule 13a-14(a) or Rule 15d-14(a) of the Exchange Act.</w:t>
      </w: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17"/>
          <w:szCs w:val="17"/>
          <w:u w:val="single" w:color="auto"/>
          <w:color w:val="0000EE"/>
        </w:rPr>
        <w:t>Certification of Ferrellgas, L.P. pursuant to Rule 13a-14(a) or Rule 15d-14(a) of the Exchange Act.</w:t>
      </w:r>
    </w:p>
    <w:p>
      <w:pPr>
        <w:spacing w:after="0" w:line="9" w:lineRule="exact"/>
        <w:rPr>
          <w:rFonts w:ascii="Times New Roman" w:cs="Times New Roman" w:eastAsia="Times New Roman" w:hAnsi="Times New Roman"/>
          <w:sz w:val="18"/>
          <w:szCs w:val="18"/>
          <w:color w:val="auto"/>
        </w:rPr>
      </w:pPr>
    </w:p>
    <w:p>
      <w:pPr>
        <w:ind w:left="1240" w:right="319" w:hanging="1184"/>
        <w:spacing w:after="0" w:line="250" w:lineRule="auto"/>
        <w:tabs>
          <w:tab w:leader="none" w:pos="4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w:t>
      </w:r>
      <w:r>
        <w:rPr>
          <w:rFonts w:ascii="Times New Roman" w:cs="Times New Roman" w:eastAsia="Times New Roman" w:hAnsi="Times New Roman"/>
          <w:sz w:val="18"/>
          <w:szCs w:val="18"/>
          <w:u w:val="single" w:color="auto"/>
          <w:color w:val="0000EE"/>
        </w:rPr>
        <w:t>Certification of Ferrellgas Finance Corp. pursuant to Rule 13a-14(a) or Rule 15d-14(a) of the Exchange Act.</w:t>
      </w: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7"/>
          <w:szCs w:val="17"/>
          <w:u w:val="single" w:color="auto"/>
          <w:color w:val="0000EE"/>
        </w:rPr>
        <w:t>Certification of Ferrellgas Partners, L.P. pursuant to 18 U.S.C. Section 1350.</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8"/>
          <w:szCs w:val="18"/>
          <w:u w:val="single" w:color="auto"/>
          <w:color w:val="0000EE"/>
        </w:rPr>
        <w:t>Certification of Ferrellgas Partners Finance Corp. pursuant to 18 U.S.C. Section 1350.</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w:t>
      </w:r>
      <w:r>
        <w:rPr>
          <w:rFonts w:ascii="Times New Roman" w:cs="Times New Roman" w:eastAsia="Times New Roman" w:hAnsi="Times New Roman"/>
          <w:sz w:val="17"/>
          <w:szCs w:val="17"/>
          <w:u w:val="single" w:color="auto"/>
          <w:color w:val="0000EE"/>
        </w:rPr>
        <w:t>Certification of Ferrellgas, L.P. pursuant to 18 U.S.C. Section 1350.</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w:t>
      </w:r>
      <w:r>
        <w:rPr>
          <w:rFonts w:ascii="Times New Roman" w:cs="Times New Roman" w:eastAsia="Times New Roman" w:hAnsi="Times New Roman"/>
          <w:sz w:val="18"/>
          <w:szCs w:val="18"/>
          <w:u w:val="single" w:color="auto"/>
          <w:color w:val="0000EE"/>
        </w:rPr>
        <w:t>Certification of Ferrellgas Finance Corp. pursuant to 18 U.S.C. Section 1350.</w:t>
      </w:r>
    </w:p>
    <w:p>
      <w:pPr>
        <w:spacing w:after="0" w:line="9" w:lineRule="exact"/>
        <w:rPr>
          <w:rFonts w:ascii="Times New Roman" w:cs="Times New Roman" w:eastAsia="Times New Roman" w:hAnsi="Times New Roman"/>
          <w:sz w:val="18"/>
          <w:szCs w:val="18"/>
          <w:color w:val="auto"/>
        </w:rPr>
      </w:pPr>
    </w:p>
    <w:p>
      <w:pPr>
        <w:ind w:left="1240" w:right="159" w:hanging="1184"/>
        <w:spacing w:after="0" w:line="250" w:lineRule="auto"/>
        <w:tabs>
          <w:tab w:leader="none" w:pos="4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 XBRL Instance Document (the instance document does not appear in the Interactive Data File because its XBRL tags are embedded within the Inline XBRL document).</w:t>
      </w: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XBRL Taxonomy Extension Schema Document.</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XBRL Taxonomy Extension Calculation Linkbase Document.</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  XBRL Taxonomy Extension Definition Linkbase Document.</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XBRL Taxonomy Extension Label Linkbase Document.</w:t>
      </w:r>
    </w:p>
    <w:p>
      <w:pPr>
        <w:spacing w:after="0" w:line="9" w:lineRule="exact"/>
        <w:rPr>
          <w:rFonts w:ascii="Times New Roman" w:cs="Times New Roman" w:eastAsia="Times New Roman" w:hAnsi="Times New Roman"/>
          <w:sz w:val="18"/>
          <w:szCs w:val="18"/>
          <w:color w:val="auto"/>
        </w:rPr>
      </w:pPr>
    </w:p>
    <w:p>
      <w:pPr>
        <w:ind w:left="420" w:hanging="36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XBRL Taxonomy Extension Presentation Linkbase Document.</w:t>
      </w:r>
    </w:p>
    <w:p>
      <w:pPr>
        <w:spacing w:after="0" w:line="9" w:lineRule="exact"/>
        <w:rPr>
          <w:rFonts w:ascii="Times New Roman" w:cs="Times New Roman" w:eastAsia="Times New Roman" w:hAnsi="Times New Roman"/>
          <w:sz w:val="18"/>
          <w:szCs w:val="18"/>
          <w:color w:val="auto"/>
        </w:rPr>
      </w:pPr>
    </w:p>
    <w:p>
      <w:pPr>
        <w:ind w:left="1240" w:right="499" w:hanging="1184"/>
        <w:spacing w:after="0" w:line="260" w:lineRule="auto"/>
        <w:tabs>
          <w:tab w:leader="none" w:pos="4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104The cover page from Ferrellgas Partners, L.P.’s Quarterly Report on Form 10-Q for the quarter ended April 30, 2026, formatted in Inline XBRL and contained in Exhibit 101.</w:t>
      </w:r>
    </w:p>
    <w:p>
      <w:pPr>
        <w:spacing w:after="0" w:line="18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-187960</wp:posOffset>
            </wp:positionV>
            <wp:extent cx="1414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FERRELLGAS PARTNERS, L.P.</w:t>
            </w: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Ferrellgas, Inc., its general partner</w:t>
            </w:r>
          </w:p>
        </w:tc>
      </w:tr>
      <w:tr>
        <w:trPr>
          <w:trHeight w:val="432"/>
        </w:trPr>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5, 2026</w:t>
            </w: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Tamria A. Zertuche</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c>
          <w:tcPr>
            <w:tcW w:w="2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48"/>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Nicholas Heimer</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Nicholas Heimer</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FERRELLGAS PARTNERS FINANCE CORP.</w:t>
            </w:r>
          </w:p>
        </w:tc>
      </w:tr>
      <w:tr>
        <w:trPr>
          <w:trHeight w:val="432"/>
        </w:trPr>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5, 2026</w:t>
            </w: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Tamria A. Zertuche</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c>
          <w:tcPr>
            <w:tcW w:w="2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r>
      <w:tr>
        <w:trPr>
          <w:trHeight w:val="432"/>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Nicholas Heimer</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Nicholas Heimer</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4"/>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FERRELLGAS, L.P.</w:t>
            </w: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Ferrellgas, Inc., its general partner</w:t>
            </w:r>
          </w:p>
        </w:tc>
      </w:tr>
      <w:tr>
        <w:trPr>
          <w:trHeight w:val="432"/>
        </w:trPr>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5, 2026</w:t>
            </w: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Tamria A. Zertuche</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c>
          <w:tcPr>
            <w:tcW w:w="2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Nicholas Heimer</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Nicholas Heimer</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FERRELLGAS FINANCE CORP.</w:t>
            </w:r>
          </w:p>
        </w:tc>
      </w:tr>
      <w:tr>
        <w:trPr>
          <w:trHeight w:val="432"/>
        </w:trPr>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5, 2026</w:t>
            </w: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Tamria A. Zertuche</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c>
          <w:tcPr>
            <w:tcW w:w="2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r>
      <w:tr>
        <w:trPr>
          <w:trHeight w:val="432"/>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Nicholas Heimer</w:t>
            </w:r>
          </w:p>
        </w:tc>
      </w:tr>
      <w:tr>
        <w:trPr>
          <w:trHeight w:val="191"/>
        </w:trPr>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Nicholas Heimer</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31"/>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67</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5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Tamria A. Zertuche, certify that:</w:t>
      </w:r>
    </w:p>
    <w:p>
      <w:pPr>
        <w:spacing w:after="0" w:line="225" w:lineRule="exact"/>
        <w:rPr>
          <w:sz w:val="20"/>
          <w:szCs w:val="20"/>
          <w:color w:val="auto"/>
        </w:rPr>
      </w:pPr>
    </w:p>
    <w:p>
      <w:pPr>
        <w:ind w:left="380" w:right="59" w:hanging="330"/>
        <w:spacing w:after="0" w:line="282" w:lineRule="auto"/>
        <w:tabs>
          <w:tab w:leader="none" w:pos="4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Partners, L.P. (the “Registrant”);</w:t>
      </w:r>
    </w:p>
    <w:p>
      <w:pPr>
        <w:spacing w:after="0" w:line="16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2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 of Ferrellgas, Inc.,</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of the Registrant</w:t>
            </w:r>
          </w:p>
        </w:tc>
      </w:tr>
      <w:tr>
        <w:trPr>
          <w:trHeight w:val="1208"/>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Nicholas Heimer, certify that:</w:t>
      </w:r>
    </w:p>
    <w:p>
      <w:pPr>
        <w:spacing w:after="0" w:line="225" w:lineRule="exact"/>
        <w:rPr>
          <w:sz w:val="20"/>
          <w:szCs w:val="20"/>
          <w:color w:val="auto"/>
        </w:rPr>
      </w:pPr>
    </w:p>
    <w:p>
      <w:pPr>
        <w:ind w:left="380" w:right="59" w:hanging="330"/>
        <w:spacing w:after="0" w:line="282" w:lineRule="auto"/>
        <w:tabs>
          <w:tab w:leader="none" w:pos="4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Partners, L.P. (the “Registrant”);</w:t>
      </w:r>
    </w:p>
    <w:p>
      <w:pPr>
        <w:spacing w:after="0" w:line="16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2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of Ferrellgas,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 general partner of the Registrant</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9" w:name="page70"/>
    <w:bookmarkEnd w:id="6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Tamria A. Zertuche, certify that:</w:t>
      </w:r>
    </w:p>
    <w:p>
      <w:pPr>
        <w:spacing w:after="0" w:line="225" w:lineRule="exact"/>
        <w:rPr>
          <w:sz w:val="20"/>
          <w:szCs w:val="20"/>
          <w:color w:val="auto"/>
        </w:rPr>
      </w:pPr>
    </w:p>
    <w:p>
      <w:pPr>
        <w:ind w:left="380" w:right="79" w:hanging="330"/>
        <w:spacing w:after="0" w:line="282" w:lineRule="auto"/>
        <w:tabs>
          <w:tab w:leader="none" w:pos="3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Partners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8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Nicholas Heimer, certify that:</w:t>
      </w:r>
    </w:p>
    <w:p>
      <w:pPr>
        <w:spacing w:after="0" w:line="225" w:lineRule="exact"/>
        <w:rPr>
          <w:sz w:val="20"/>
          <w:szCs w:val="20"/>
          <w:color w:val="auto"/>
        </w:rPr>
      </w:pPr>
    </w:p>
    <w:p>
      <w:pPr>
        <w:ind w:left="380" w:right="79" w:hanging="330"/>
        <w:spacing w:after="0" w:line="282" w:lineRule="auto"/>
        <w:tabs>
          <w:tab w:leader="none" w:pos="3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Partners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1" w:name="page72"/>
    <w:bookmarkEnd w:id="7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FERRELLGAS,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Tamria A. Zertuche, certify that:</w:t>
      </w:r>
    </w:p>
    <w:p>
      <w:pPr>
        <w:spacing w:after="0" w:line="225" w:lineRule="exact"/>
        <w:rPr>
          <w:sz w:val="20"/>
          <w:szCs w:val="20"/>
          <w:color w:val="auto"/>
        </w:rPr>
      </w:pPr>
    </w:p>
    <w:p>
      <w:pPr>
        <w:ind w:left="360" w:hanging="310"/>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L.P. (the “Registrant”);</w:t>
      </w:r>
    </w:p>
    <w:p>
      <w:pPr>
        <w:spacing w:after="0" w:line="22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8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 of Ferrellgas, Inc., the</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Registrant’s general partner</w:t>
            </w:r>
          </w:p>
        </w:tc>
      </w:tr>
      <w:tr>
        <w:trPr>
          <w:trHeight w:val="992"/>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2" w:name="page73"/>
    <w:bookmarkEnd w:id="72"/>
    <w:p>
      <w:pPr>
        <w:ind w:left="37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FERRELLGAS,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Nicholas Heimer, certify that:</w:t>
      </w:r>
    </w:p>
    <w:p>
      <w:pPr>
        <w:spacing w:after="0" w:line="225" w:lineRule="exact"/>
        <w:rPr>
          <w:sz w:val="20"/>
          <w:szCs w:val="20"/>
          <w:color w:val="auto"/>
        </w:rPr>
      </w:pPr>
    </w:p>
    <w:p>
      <w:pPr>
        <w:ind w:left="360" w:hanging="310"/>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L.P. (the “Registrant”);</w:t>
      </w:r>
    </w:p>
    <w:p>
      <w:pPr>
        <w:spacing w:after="0" w:line="22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of Ferrellgas,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 the Registrant’s general partner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3" w:name="page74"/>
    <w:bookmarkEnd w:id="7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Tamria A. Zertuche, certify that:</w:t>
      </w:r>
    </w:p>
    <w:p>
      <w:pPr>
        <w:spacing w:after="0" w:line="185" w:lineRule="exact"/>
        <w:rPr>
          <w:sz w:val="20"/>
          <w:szCs w:val="20"/>
          <w:color w:val="auto"/>
        </w:rPr>
      </w:pPr>
    </w:p>
    <w:p>
      <w:pPr>
        <w:ind w:left="380" w:right="79" w:hanging="330"/>
        <w:spacing w:after="0" w:line="282" w:lineRule="auto"/>
        <w:tabs>
          <w:tab w:leader="none" w:pos="4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r>
      <w:tr>
        <w:trPr>
          <w:trHeight w:val="992"/>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Nicholas Heimer, certify that:</w:t>
      </w:r>
    </w:p>
    <w:p>
      <w:pPr>
        <w:spacing w:after="0" w:line="225" w:lineRule="exact"/>
        <w:rPr>
          <w:sz w:val="20"/>
          <w:szCs w:val="20"/>
          <w:color w:val="auto"/>
        </w:rPr>
      </w:pPr>
    </w:p>
    <w:p>
      <w:pPr>
        <w:ind w:left="380" w:right="79" w:hanging="330"/>
        <w:spacing w:after="0" w:line="282" w:lineRule="auto"/>
        <w:tabs>
          <w:tab w:leader="none" w:pos="4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April 30, 2026 of Ferrellgas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6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1020" w:right="79" w:hanging="322"/>
        <w:spacing w:after="0" w:line="250" w:lineRule="auto"/>
        <w:tabs>
          <w:tab w:leader="none" w:pos="116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59" w:hanging="322"/>
        <w:spacing w:after="0" w:line="250" w:lineRule="auto"/>
        <w:tabs>
          <w:tab w:leader="none" w:pos="101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jc w:val="both"/>
        <w:ind w:left="380" w:right="59" w:hanging="330"/>
        <w:spacing w:after="0" w:line="266"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7" w:lineRule="auto"/>
        <w:tabs>
          <w:tab w:leader="none" w:pos="11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60" w:lineRule="auto"/>
        <w:tabs>
          <w:tab w:leader="none" w:pos="100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5" w:name="page76"/>
    <w:bookmarkEnd w:id="75"/>
    <w:p>
      <w:pPr>
        <w:ind w:left="78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Partners, L.P. (the “Registrant”) for the period ended April 30,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39" w:lineRule="exact"/>
        <w:rPr>
          <w:sz w:val="20"/>
          <w:szCs w:val="20"/>
          <w:color w:val="auto"/>
        </w:rPr>
      </w:pPr>
    </w:p>
    <w:p>
      <w:pPr>
        <w:ind w:left="380" w:right="59" w:hanging="330"/>
        <w:spacing w:after="0" w:line="282" w:lineRule="auto"/>
        <w:tabs>
          <w:tab w:leader="none" w:pos="3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4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 of Ferrellgas, Inc.,</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of the Registrant</w:t>
            </w:r>
          </w:p>
        </w:tc>
      </w:tr>
      <w:tr>
        <w:trPr>
          <w:trHeight w:val="4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of Ferrellgas,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 general partner of the Registrant</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6" w:name="page77"/>
    <w:bookmarkEnd w:id="76"/>
    <w:p>
      <w:pPr>
        <w:ind w:left="78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Partners Finance Corp. (the “Registrant”) for the period ended April 30,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39" w:lineRule="exact"/>
        <w:rPr>
          <w:sz w:val="20"/>
          <w:szCs w:val="20"/>
          <w:color w:val="auto"/>
        </w:rPr>
      </w:pPr>
    </w:p>
    <w:p>
      <w:pPr>
        <w:ind w:left="380" w:right="59" w:hanging="330"/>
        <w:spacing w:after="0" w:line="282" w:lineRule="auto"/>
        <w:tabs>
          <w:tab w:leader="none" w:pos="3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4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r>
      <w:tr>
        <w:trPr>
          <w:trHeight w:val="4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7" w:name="page78"/>
    <w:bookmarkEnd w:id="77"/>
    <w:p>
      <w:pPr>
        <w:ind w:left="7820"/>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L.P. (the “Registrant”) for the period ended April 30,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53" w:lineRule="exact"/>
        <w:rPr>
          <w:sz w:val="20"/>
          <w:szCs w:val="20"/>
          <w:color w:val="auto"/>
        </w:rPr>
      </w:pPr>
    </w:p>
    <w:p>
      <w:pPr>
        <w:ind w:left="380" w:right="59" w:hanging="330"/>
        <w:spacing w:after="0" w:line="282" w:lineRule="auto"/>
        <w:tabs>
          <w:tab w:leader="none" w:pos="3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4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 of Ferrellgas, Inc., the</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general partner</w:t>
            </w:r>
          </w:p>
        </w:tc>
      </w:tr>
      <w:tr>
        <w:trPr>
          <w:trHeight w:val="4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of Ferrellgas,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 the Registrant’s general partner</w:t>
            </w:r>
          </w:p>
        </w:tc>
      </w:tr>
      <w:tr>
        <w:trPr>
          <w:trHeight w:val="76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8" w:name="page79"/>
    <w:bookmarkEnd w:id="78"/>
    <w:p>
      <w:pPr>
        <w:ind w:left="7820"/>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Finance Corp. (the “Registrant”) for the period ended April 30,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53" w:lineRule="exact"/>
        <w:rPr>
          <w:sz w:val="20"/>
          <w:szCs w:val="20"/>
          <w:color w:val="auto"/>
        </w:rPr>
      </w:pPr>
    </w:p>
    <w:p>
      <w:pPr>
        <w:ind w:left="380" w:right="59" w:hanging="330"/>
        <w:spacing w:after="0" w:line="282" w:lineRule="auto"/>
        <w:tabs>
          <w:tab w:leader="none" w:pos="3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380" w:right="59" w:hanging="330"/>
        <w:spacing w:after="0" w:line="282" w:lineRule="auto"/>
        <w:tabs>
          <w:tab w:leader="none" w:pos="4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Tamria A. Zertuche</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Tamria A. Zertuche</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r>
      <w:tr>
        <w:trPr>
          <w:trHeight w:val="43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5,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Heimer</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Heimer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upperLetter"/>
      <w:start w:val="1"/>
    </w:lvl>
  </w:abstractNum>
  <w:abstractNum w:abstractNumId="7">
    <w:nsid w:val="737B8DDC"/>
    <w:multiLevelType w:val="hybridMultilevel"/>
    <w:lvl w:ilvl="0">
      <w:lvlJc w:val="left"/>
      <w:lvlText w:val="%1."/>
      <w:numFmt w:val="upperLetter"/>
      <w:start w:val="2"/>
    </w:lvl>
  </w:abstractNum>
  <w:abstractNum w:abstractNumId="8">
    <w:nsid w:val="6CEAF087"/>
    <w:multiLevelType w:val="hybridMultilevel"/>
    <w:lvl w:ilvl="0">
      <w:lvlJc w:val="left"/>
      <w:lvlText w:val="%1)"/>
      <w:numFmt w:val="decimal"/>
      <w:start w:val="818"/>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upperLetter"/>
      <w:start w:val="5"/>
    </w:lvl>
  </w:abstractNum>
  <w:abstractNum w:abstractNumId="13">
    <w:nsid w:val="419AC241"/>
    <w:multiLevelType w:val="hybridMultilevel"/>
    <w:lvl w:ilvl="0">
      <w:lvlJc w:val="left"/>
      <w:lvlText w:val="%1."/>
      <w:numFmt w:val="upperLetter"/>
      <w:start w:val="6"/>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upperLetter"/>
      <w:start w:val="7"/>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upperLetter"/>
      <w:start w:val="8"/>
    </w:lvl>
  </w:abstractNum>
  <w:abstractNum w:abstractNumId="18">
    <w:nsid w:val="77465F01"/>
    <w:multiLevelType w:val="hybridMultilevel"/>
    <w:lvl w:ilvl="0">
      <w:lvlJc w:val="left"/>
      <w:lvlText w:val="%1."/>
      <w:numFmt w:val="upperLetter"/>
      <w:start w:val="9"/>
    </w:lvl>
  </w:abstractNum>
  <w:abstractNum w:abstractNumId="19">
    <w:nsid w:val="7724C67E"/>
    <w:multiLevelType w:val="hybridMultilevel"/>
    <w:lvl w:ilvl="0">
      <w:lvlJc w:val="left"/>
      <w:lvlText w:val="%1."/>
      <w:numFmt w:val="upperLetter"/>
      <w:start w:val="12"/>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upperLetter"/>
      <w:start w:val="13"/>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upperLetter"/>
      <w:start w:val="1"/>
    </w:lvl>
  </w:abstractNum>
  <w:abstractNum w:abstractNumId="25">
    <w:nsid w:val="580BD78F"/>
    <w:multiLevelType w:val="hybridMultilevel"/>
    <w:lvl w:ilvl="0">
      <w:lvlJc w:val="left"/>
      <w:lvlText w:val="%1."/>
      <w:numFmt w:val="upperLetter"/>
      <w:start w:val="2"/>
    </w:lvl>
  </w:abstractNum>
  <w:abstractNum w:abstractNumId="26">
    <w:nsid w:val="153EA438"/>
    <w:multiLevelType w:val="hybridMultilevel"/>
    <w:lvl w:ilvl="0">
      <w:lvlJc w:val="left"/>
      <w:lvlText w:val="%1."/>
      <w:numFmt w:val="upperLetter"/>
      <w:start w:val="3"/>
    </w:lvl>
  </w:abstractNum>
  <w:abstractNum w:abstractNumId="27">
    <w:nsid w:val="3855585C"/>
    <w:multiLevelType w:val="hybridMultilevel"/>
    <w:lvl w:ilvl="0">
      <w:lvlJc w:val="left"/>
      <w:lvlText w:val="%1."/>
      <w:numFmt w:val="upperLetter"/>
      <w:start w:val="1"/>
    </w:lvl>
  </w:abstractNum>
  <w:abstractNum w:abstractNumId="28">
    <w:nsid w:val="70A64E2A"/>
    <w:multiLevelType w:val="hybridMultilevel"/>
    <w:lvl w:ilvl="0">
      <w:lvlJc w:val="left"/>
      <w:lvlText w:val="%1."/>
      <w:numFmt w:val="upperLetter"/>
      <w:start w:val="2"/>
    </w:lvl>
  </w:abstractNum>
  <w:abstractNum w:abstractNumId="29">
    <w:nsid w:val="6A2342EC"/>
    <w:multiLevelType w:val="hybridMultilevel"/>
    <w:lvl w:ilvl="0">
      <w:lvlJc w:val="left"/>
      <w:lvlText w:val="%1."/>
      <w:numFmt w:val="upperLetter"/>
      <w:start w:val="3"/>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5"/>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4"/>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1"/>
    </w:lvl>
  </w:abstractNum>
  <w:abstractNum w:abstractNumId="45">
    <w:nsid w:val="3DC240FB"/>
    <w:multiLevelType w:val="hybridMultilevel"/>
    <w:lvl w:ilvl="0">
      <w:lvlJc w:val="left"/>
      <w:lvlText w:val="%1."/>
      <w:numFmt w:val="decimal"/>
      <w:start w:val="1"/>
    </w:lvl>
    <w:lvl w:ilvl="1">
      <w:lvlJc w:val="left"/>
      <w:lvlText w:val="%2."/>
      <w:numFmt w:val="lowerLetter"/>
      <w:start w:val="1"/>
    </w:lvl>
  </w:abstractNum>
  <w:abstractNum w:abstractNumId="46">
    <w:nsid w:val="1BA026FA"/>
    <w:multiLevelType w:val="hybridMultilevel"/>
    <w:lvl w:ilvl="0">
      <w:lvlJc w:val="left"/>
      <w:lvlText w:val="%1."/>
      <w:numFmt w:val="decimal"/>
      <w:start w:val="1"/>
    </w:lvl>
    <w:lvl w:ilvl="1">
      <w:lvlJc w:val="left"/>
      <w:lvlText w:val="%2."/>
      <w:numFmt w:val="lowerLetter"/>
      <w:start w:val="1"/>
    </w:lvl>
  </w:abstractNum>
  <w:abstractNum w:abstractNumId="47">
    <w:nsid w:val="79A1DEAA"/>
    <w:multiLevelType w:val="hybridMultilevel"/>
    <w:lvl w:ilvl="0">
      <w:lvlJc w:val="left"/>
      <w:lvlText w:val="%1."/>
      <w:numFmt w:val="decimal"/>
      <w:start w:val="1"/>
    </w:lvl>
    <w:lvl w:ilvl="1">
      <w:lvlJc w:val="left"/>
      <w:lvlText w:val="%2."/>
      <w:numFmt w:val="lowerLetter"/>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5"/>
    </w:lvl>
    <w:lvl w:ilvl="1">
      <w:lvlJc w:val="left"/>
      <w:lvlText w:val="%2."/>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2026-06-05T05:40:11Z</dcterms:created>
  <dcterms:modified xsi:type="dcterms:W3CDTF">2026-06-05T05:40:11Z</dcterms:modified>
</cp:coreProperties>
</file>