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177800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3"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(Mark One)</w:t>
      </w:r>
    </w:p>
    <w:p>
      <w:pPr>
        <w:spacing w:after="0" w:line="87" w:lineRule="exact"/>
        <w:rPr>
          <w:sz w:val="24"/>
          <w:szCs w:val="24"/>
          <w:color w:val="auto"/>
        </w:rPr>
      </w:pPr>
    </w:p>
    <w:p>
      <w:pPr>
        <w:ind w:left="520" w:hanging="511"/>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3"/>
          <w:szCs w:val="13"/>
          <w:color w:val="auto"/>
        </w:rPr>
        <w:t>For the fiscal year ended July 31, 2020</w:t>
      </w:r>
    </w:p>
    <w:p>
      <w:pPr>
        <w:jc w:val="center"/>
        <w:ind w:right="-499"/>
        <w:spacing w:after="0" w:line="234" w:lineRule="auto"/>
        <w:rPr>
          <w:sz w:val="20"/>
          <w:szCs w:val="20"/>
          <w:color w:val="auto"/>
        </w:rPr>
      </w:pPr>
      <w:r>
        <w:rPr>
          <w:rFonts w:ascii="Arial" w:cs="Arial" w:eastAsia="Arial" w:hAnsi="Arial"/>
          <w:sz w:val="13"/>
          <w:szCs w:val="13"/>
          <w:color w:val="auto"/>
        </w:rPr>
        <w:t>or</w:t>
      </w:r>
    </w:p>
    <w:p>
      <w:pPr>
        <w:ind w:left="520" w:hanging="511"/>
        <w:spacing w:after="0" w:line="218"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21" w:lineRule="exact"/>
        <w:rPr>
          <w:sz w:val="24"/>
          <w:szCs w:val="24"/>
          <w:color w:val="auto"/>
        </w:rPr>
      </w:pPr>
    </w:p>
    <w:p>
      <w:pPr>
        <w:ind w:left="520"/>
        <w:spacing w:after="0"/>
        <w:tabs>
          <w:tab w:leader="none" w:pos="228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0"/>
          <w:szCs w:val="10"/>
          <w:color w:val="auto"/>
        </w:rPr>
        <w:t>to</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numbers: 001-11331, 333-06693-02, 000-50182 and 000-50183</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Ferrellgas Partners,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Ferrellgas Partners Finance Corp.</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Ferrellgas, L.P.</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Ferrellgas Finance Corp.</w:t>
      </w:r>
    </w:p>
    <w:p>
      <w:pPr>
        <w:spacing w:after="0" w:line="14" w:lineRule="exact"/>
        <w:rPr>
          <w:sz w:val="24"/>
          <w:szCs w:val="24"/>
          <w:color w:val="auto"/>
        </w:rPr>
      </w:pPr>
    </w:p>
    <w:tbl>
      <w:tblPr>
        <w:tblLayout w:type="fixed"/>
        <w:tblInd w:w="860" w:type="dxa"/>
        <w:tblCellMar>
          <w:top w:w="0" w:type="dxa"/>
          <w:left w:w="0" w:type="dxa"/>
          <w:bottom w:w="0" w:type="dxa"/>
          <w:right w:w="0" w:type="dxa"/>
        </w:tblCellMar>
      </w:tblPr>
      <w:tr>
        <w:trPr>
          <w:trHeight w:val="160"/>
        </w:trPr>
        <w:tc>
          <w:tcPr>
            <w:tcW w:w="5620" w:type="dxa"/>
            <w:vAlign w:val="bottom"/>
          </w:tcPr>
          <w:p>
            <w:pPr>
              <w:ind w:left="2680"/>
              <w:spacing w:after="0"/>
              <w:rPr>
                <w:sz w:val="20"/>
                <w:szCs w:val="20"/>
                <w:color w:val="auto"/>
              </w:rPr>
            </w:pPr>
            <w:r>
              <w:rPr>
                <w:rFonts w:ascii="Arial" w:cs="Arial" w:eastAsia="Arial" w:hAnsi="Arial"/>
                <w:sz w:val="13"/>
                <w:szCs w:val="13"/>
                <w:i w:val="1"/>
                <w:iCs w:val="1"/>
                <w:color w:val="auto"/>
                <w:w w:val="90"/>
              </w:rPr>
              <w:t>(Exact name of registrants as specified in their charters)</w:t>
            </w:r>
          </w:p>
        </w:tc>
        <w:tc>
          <w:tcPr>
            <w:tcW w:w="1920" w:type="dxa"/>
            <w:vAlign w:val="bottom"/>
          </w:tcPr>
          <w:p>
            <w:pPr>
              <w:spacing w:after="0"/>
              <w:rPr>
                <w:sz w:val="13"/>
                <w:szCs w:val="13"/>
                <w:color w:val="auto"/>
              </w:rPr>
            </w:pPr>
          </w:p>
        </w:tc>
      </w:tr>
      <w:tr>
        <w:trPr>
          <w:trHeight w:val="179"/>
        </w:trPr>
        <w:tc>
          <w:tcPr>
            <w:tcW w:w="5620" w:type="dxa"/>
            <w:vAlign w:val="bottom"/>
          </w:tcPr>
          <w:p>
            <w:pPr>
              <w:jc w:val="center"/>
              <w:ind w:right="2397"/>
              <w:spacing w:after="0"/>
              <w:rPr>
                <w:sz w:val="20"/>
                <w:szCs w:val="20"/>
                <w:color w:val="auto"/>
              </w:rPr>
            </w:pPr>
            <w:r>
              <w:rPr>
                <w:rFonts w:ascii="Arial" w:cs="Arial" w:eastAsia="Arial" w:hAnsi="Arial"/>
                <w:sz w:val="13"/>
                <w:szCs w:val="13"/>
                <w:color w:val="auto"/>
                <w:w w:val="87"/>
              </w:rPr>
              <w:t>Delaware</w:t>
            </w:r>
          </w:p>
        </w:tc>
        <w:tc>
          <w:tcPr>
            <w:tcW w:w="1920" w:type="dxa"/>
            <w:vAlign w:val="bottom"/>
          </w:tcPr>
          <w:p>
            <w:pPr>
              <w:jc w:val="center"/>
              <w:ind w:left="17"/>
              <w:spacing w:after="0"/>
              <w:rPr>
                <w:sz w:val="20"/>
                <w:szCs w:val="20"/>
                <w:color w:val="auto"/>
              </w:rPr>
            </w:pPr>
            <w:r>
              <w:rPr>
                <w:rFonts w:ascii="Arial" w:cs="Arial" w:eastAsia="Arial" w:hAnsi="Arial"/>
                <w:sz w:val="13"/>
                <w:szCs w:val="13"/>
                <w:color w:val="auto"/>
                <w:w w:val="86"/>
              </w:rPr>
              <w:t>43-1698480</w:t>
            </w:r>
          </w:p>
        </w:tc>
      </w:tr>
      <w:tr>
        <w:trPr>
          <w:trHeight w:val="150"/>
        </w:trPr>
        <w:tc>
          <w:tcPr>
            <w:tcW w:w="5620" w:type="dxa"/>
            <w:vAlign w:val="bottom"/>
          </w:tcPr>
          <w:p>
            <w:pPr>
              <w:jc w:val="center"/>
              <w:ind w:right="2397"/>
              <w:spacing w:after="0"/>
              <w:rPr>
                <w:sz w:val="20"/>
                <w:szCs w:val="20"/>
                <w:color w:val="auto"/>
              </w:rPr>
            </w:pPr>
            <w:r>
              <w:rPr>
                <w:rFonts w:ascii="Arial" w:cs="Arial" w:eastAsia="Arial" w:hAnsi="Arial"/>
                <w:sz w:val="13"/>
                <w:szCs w:val="13"/>
                <w:color w:val="auto"/>
                <w:w w:val="87"/>
              </w:rPr>
              <w:t>Delaware</w:t>
            </w:r>
          </w:p>
        </w:tc>
        <w:tc>
          <w:tcPr>
            <w:tcW w:w="1920" w:type="dxa"/>
            <w:vAlign w:val="bottom"/>
          </w:tcPr>
          <w:p>
            <w:pPr>
              <w:jc w:val="center"/>
              <w:ind w:left="17"/>
              <w:spacing w:after="0"/>
              <w:rPr>
                <w:sz w:val="20"/>
                <w:szCs w:val="20"/>
                <w:color w:val="auto"/>
              </w:rPr>
            </w:pPr>
            <w:r>
              <w:rPr>
                <w:rFonts w:ascii="Arial" w:cs="Arial" w:eastAsia="Arial" w:hAnsi="Arial"/>
                <w:sz w:val="13"/>
                <w:szCs w:val="13"/>
                <w:color w:val="auto"/>
                <w:w w:val="86"/>
              </w:rPr>
              <w:t>43-1742520</w:t>
            </w:r>
          </w:p>
        </w:tc>
      </w:tr>
      <w:tr>
        <w:trPr>
          <w:trHeight w:val="148"/>
        </w:trPr>
        <w:tc>
          <w:tcPr>
            <w:tcW w:w="5620" w:type="dxa"/>
            <w:vAlign w:val="bottom"/>
          </w:tcPr>
          <w:p>
            <w:pPr>
              <w:jc w:val="center"/>
              <w:ind w:right="2397"/>
              <w:spacing w:after="0"/>
              <w:rPr>
                <w:sz w:val="20"/>
                <w:szCs w:val="20"/>
                <w:color w:val="auto"/>
              </w:rPr>
            </w:pPr>
            <w:r>
              <w:rPr>
                <w:rFonts w:ascii="Arial" w:cs="Arial" w:eastAsia="Arial" w:hAnsi="Arial"/>
                <w:sz w:val="13"/>
                <w:szCs w:val="13"/>
                <w:color w:val="auto"/>
                <w:w w:val="87"/>
              </w:rPr>
              <w:t>Delaware</w:t>
            </w:r>
          </w:p>
        </w:tc>
        <w:tc>
          <w:tcPr>
            <w:tcW w:w="1920" w:type="dxa"/>
            <w:vAlign w:val="bottom"/>
          </w:tcPr>
          <w:p>
            <w:pPr>
              <w:jc w:val="center"/>
              <w:ind w:left="17"/>
              <w:spacing w:after="0"/>
              <w:rPr>
                <w:sz w:val="20"/>
                <w:szCs w:val="20"/>
                <w:color w:val="auto"/>
              </w:rPr>
            </w:pPr>
            <w:r>
              <w:rPr>
                <w:rFonts w:ascii="Arial" w:cs="Arial" w:eastAsia="Arial" w:hAnsi="Arial"/>
                <w:sz w:val="13"/>
                <w:szCs w:val="13"/>
                <w:color w:val="auto"/>
                <w:w w:val="86"/>
              </w:rPr>
              <w:t>43-1698481</w:t>
            </w:r>
          </w:p>
        </w:tc>
      </w:tr>
      <w:tr>
        <w:trPr>
          <w:trHeight w:val="148"/>
        </w:trPr>
        <w:tc>
          <w:tcPr>
            <w:tcW w:w="5620" w:type="dxa"/>
            <w:vAlign w:val="bottom"/>
          </w:tcPr>
          <w:p>
            <w:pPr>
              <w:jc w:val="center"/>
              <w:ind w:right="2397"/>
              <w:spacing w:after="0"/>
              <w:rPr>
                <w:sz w:val="20"/>
                <w:szCs w:val="20"/>
                <w:color w:val="auto"/>
              </w:rPr>
            </w:pPr>
            <w:r>
              <w:rPr>
                <w:rFonts w:ascii="Arial" w:cs="Arial" w:eastAsia="Arial" w:hAnsi="Arial"/>
                <w:sz w:val="13"/>
                <w:szCs w:val="13"/>
                <w:color w:val="auto"/>
                <w:w w:val="87"/>
              </w:rPr>
              <w:t>Delaware</w:t>
            </w:r>
          </w:p>
        </w:tc>
        <w:tc>
          <w:tcPr>
            <w:tcW w:w="1920" w:type="dxa"/>
            <w:vAlign w:val="bottom"/>
          </w:tcPr>
          <w:p>
            <w:pPr>
              <w:jc w:val="center"/>
              <w:ind w:left="17"/>
              <w:spacing w:after="0"/>
              <w:rPr>
                <w:sz w:val="20"/>
                <w:szCs w:val="20"/>
                <w:color w:val="auto"/>
              </w:rPr>
            </w:pPr>
            <w:r>
              <w:rPr>
                <w:rFonts w:ascii="Arial" w:cs="Arial" w:eastAsia="Arial" w:hAnsi="Arial"/>
                <w:sz w:val="13"/>
                <w:szCs w:val="13"/>
                <w:color w:val="auto"/>
                <w:w w:val="86"/>
              </w:rPr>
              <w:t>14-1866671</w:t>
            </w:r>
          </w:p>
        </w:tc>
      </w:tr>
      <w:tr>
        <w:trPr>
          <w:trHeight w:val="160"/>
        </w:trPr>
        <w:tc>
          <w:tcPr>
            <w:tcW w:w="5620" w:type="dxa"/>
            <w:vAlign w:val="bottom"/>
          </w:tcPr>
          <w:p>
            <w:pPr>
              <w:jc w:val="center"/>
              <w:ind w:right="2397"/>
              <w:spacing w:after="0"/>
              <w:rPr>
                <w:sz w:val="20"/>
                <w:szCs w:val="20"/>
                <w:color w:val="auto"/>
              </w:rPr>
            </w:pPr>
            <w:r>
              <w:rPr>
                <w:rFonts w:ascii="Arial" w:cs="Arial" w:eastAsia="Arial" w:hAnsi="Arial"/>
                <w:sz w:val="13"/>
                <w:szCs w:val="13"/>
                <w:i w:val="1"/>
                <w:iCs w:val="1"/>
                <w:color w:val="auto"/>
                <w:w w:val="90"/>
              </w:rPr>
              <w:t>(States or other jurisdictions of incorporation or organization)</w:t>
            </w:r>
          </w:p>
        </w:tc>
        <w:tc>
          <w:tcPr>
            <w:tcW w:w="1920" w:type="dxa"/>
            <w:vAlign w:val="bottom"/>
          </w:tcPr>
          <w:p>
            <w:pPr>
              <w:jc w:val="center"/>
              <w:ind w:left="17"/>
              <w:spacing w:after="0"/>
              <w:rPr>
                <w:sz w:val="20"/>
                <w:szCs w:val="20"/>
                <w:color w:val="auto"/>
              </w:rPr>
            </w:pPr>
            <w:r>
              <w:rPr>
                <w:rFonts w:ascii="Arial" w:cs="Arial" w:eastAsia="Arial" w:hAnsi="Arial"/>
                <w:sz w:val="13"/>
                <w:szCs w:val="13"/>
                <w:i w:val="1"/>
                <w:iCs w:val="1"/>
                <w:color w:val="auto"/>
                <w:w w:val="89"/>
              </w:rPr>
              <w:t>(I.R.S. Employer Identification Nos.)</w:t>
            </w:r>
          </w:p>
        </w:tc>
      </w:tr>
    </w:tbl>
    <w:p>
      <w:pPr>
        <w:spacing w:after="0" w:line="69" w:lineRule="exact"/>
        <w:rPr>
          <w:sz w:val="24"/>
          <w:szCs w:val="24"/>
          <w:color w:val="auto"/>
        </w:rPr>
      </w:pPr>
    </w:p>
    <w:p>
      <w:pPr>
        <w:ind w:left="1800"/>
        <w:spacing w:after="0"/>
        <w:rPr>
          <w:sz w:val="20"/>
          <w:szCs w:val="20"/>
          <w:color w:val="auto"/>
        </w:rPr>
      </w:pPr>
      <w:r>
        <w:rPr>
          <w:rFonts w:ascii="Arial" w:cs="Arial" w:eastAsia="Arial" w:hAnsi="Arial"/>
          <w:sz w:val="13"/>
          <w:szCs w:val="13"/>
          <w:color w:val="auto"/>
        </w:rPr>
        <w:t>7500 College Boulevard,</w:t>
      </w:r>
    </w:p>
    <w:p>
      <w:pPr>
        <w:sectPr>
          <w:pgSz w:w="11900" w:h="16838" w:orient="portrait"/>
          <w:cols w:equalWidth="0" w:num="1">
            <w:col w:w="9920"/>
          </w:cols>
          <w:pgMar w:left="980" w:top="665" w:right="999" w:bottom="1440" w:gutter="0" w:footer="0" w:header="0"/>
        </w:sectPr>
      </w:pPr>
    </w:p>
    <w:p>
      <w:pPr>
        <w:spacing w:after="0" w:line="13" w:lineRule="exact"/>
        <w:rPr>
          <w:sz w:val="24"/>
          <w:szCs w:val="24"/>
          <w:color w:val="auto"/>
        </w:rPr>
      </w:pPr>
    </w:p>
    <w:p>
      <w:pPr>
        <w:jc w:val="center"/>
        <w:ind w:right="1620"/>
        <w:spacing w:after="0"/>
        <w:rPr>
          <w:sz w:val="20"/>
          <w:szCs w:val="20"/>
          <w:color w:val="auto"/>
        </w:rPr>
      </w:pPr>
      <w:r>
        <w:rPr>
          <w:rFonts w:ascii="Arial" w:cs="Arial" w:eastAsia="Arial" w:hAnsi="Arial"/>
          <w:sz w:val="13"/>
          <w:szCs w:val="13"/>
          <w:color w:val="auto"/>
        </w:rPr>
        <w:t>Suite 1000, Overland Park, Kansas</w:t>
      </w:r>
    </w:p>
    <w:p>
      <w:pPr>
        <w:spacing w:after="0" w:line="9" w:lineRule="exact"/>
        <w:rPr>
          <w:sz w:val="24"/>
          <w:szCs w:val="24"/>
          <w:color w:val="auto"/>
        </w:rPr>
      </w:pPr>
    </w:p>
    <w:p>
      <w:pPr>
        <w:jc w:val="center"/>
        <w:ind w:right="162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57" w:lineRule="exact"/>
        <w:rPr>
          <w:sz w:val="24"/>
          <w:szCs w:val="24"/>
          <w:color w:val="auto"/>
        </w:rPr>
      </w:pPr>
    </w:p>
    <w:p>
      <w:pPr>
        <w:jc w:val="center"/>
        <w:ind w:left="3460"/>
        <w:spacing w:after="0"/>
        <w:rPr>
          <w:sz w:val="20"/>
          <w:szCs w:val="20"/>
          <w:color w:val="auto"/>
        </w:rPr>
      </w:pPr>
      <w:r>
        <w:rPr>
          <w:rFonts w:ascii="Arial" w:cs="Arial" w:eastAsia="Arial" w:hAnsi="Arial"/>
          <w:sz w:val="10"/>
          <w:szCs w:val="10"/>
          <w:color w:val="auto"/>
        </w:rPr>
        <w:t>Registrants’ telephone number, including area code:</w:t>
      </w:r>
    </w:p>
    <w:p>
      <w:pPr>
        <w:spacing w:after="0" w:line="3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(913) 661-1500</w:t>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3"/>
          <w:szCs w:val="13"/>
          <w:color w:val="auto"/>
        </w:rPr>
        <w:t>66210</w:t>
      </w:r>
    </w:p>
    <w:p>
      <w:pPr>
        <w:spacing w:after="0" w:line="3" w:lineRule="exact"/>
        <w:rPr>
          <w:sz w:val="24"/>
          <w:szCs w:val="24"/>
          <w:color w:val="auto"/>
        </w:rPr>
      </w:pPr>
    </w:p>
    <w:p>
      <w:pPr>
        <w:jc w:val="center"/>
        <w:ind w:right="2160"/>
        <w:spacing w:after="0"/>
        <w:rPr>
          <w:sz w:val="20"/>
          <w:szCs w:val="20"/>
          <w:color w:val="auto"/>
        </w:rPr>
      </w:pPr>
      <w:r>
        <w:rPr>
          <w:rFonts w:ascii="Arial" w:cs="Arial" w:eastAsia="Arial" w:hAnsi="Arial"/>
          <w:sz w:val="10"/>
          <w:szCs w:val="10"/>
          <w:i w:val="1"/>
          <w:iCs w:val="1"/>
          <w:color w:val="auto"/>
        </w:rPr>
        <w:t>(Zip Code)</w:t>
      </w:r>
    </w:p>
    <w:p>
      <w:pPr>
        <w:spacing w:after="0" w:line="636" w:lineRule="exact"/>
        <w:rPr>
          <w:sz w:val="24"/>
          <w:szCs w:val="24"/>
          <w:color w:val="auto"/>
        </w:rPr>
      </w:pPr>
    </w:p>
    <w:p>
      <w:pPr>
        <w:sectPr>
          <w:pgSz w:w="11900" w:h="16838" w:orient="portrait"/>
          <w:cols w:equalWidth="0" w:num="2">
            <w:col w:w="6480" w:space="720"/>
            <w:col w:w="2720"/>
          </w:cols>
          <w:pgMar w:left="980" w:top="665" w:right="99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404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83"/>
              </w:rPr>
              <w:t>Title of each class</w:t>
            </w:r>
          </w:p>
        </w:tc>
        <w:tc>
          <w:tcPr>
            <w:tcW w:w="2700" w:type="dxa"/>
            <w:vAlign w:val="bottom"/>
            <w:gridSpan w:val="2"/>
          </w:tcPr>
          <w:p>
            <w:pPr>
              <w:jc w:val="center"/>
              <w:ind w:right="920"/>
              <w:spacing w:after="0"/>
              <w:rPr>
                <w:sz w:val="20"/>
                <w:szCs w:val="20"/>
                <w:color w:val="auto"/>
              </w:rPr>
            </w:pPr>
            <w:r>
              <w:rPr>
                <w:rFonts w:ascii="Arial" w:cs="Arial" w:eastAsia="Arial" w:hAnsi="Arial"/>
                <w:sz w:val="13"/>
                <w:szCs w:val="13"/>
                <w:b w:val="1"/>
                <w:bCs w:val="1"/>
                <w:color w:val="auto"/>
                <w:w w:val="87"/>
              </w:rPr>
              <w:t>Trading Symbol</w:t>
            </w:r>
          </w:p>
        </w:tc>
        <w:tc>
          <w:tcPr>
            <w:tcW w:w="31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56"/>
        </w:trPr>
        <w:tc>
          <w:tcPr>
            <w:tcW w:w="31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tcPr>
          <w:p>
            <w:pPr>
              <w:jc w:val="center"/>
              <w:ind w:right="637"/>
              <w:spacing w:after="0"/>
              <w:rPr>
                <w:sz w:val="20"/>
                <w:szCs w:val="20"/>
                <w:color w:val="auto"/>
              </w:rPr>
            </w:pPr>
            <w:r>
              <w:rPr>
                <w:rFonts w:ascii="Arial" w:cs="Arial" w:eastAsia="Arial" w:hAnsi="Arial"/>
                <w:sz w:val="13"/>
                <w:szCs w:val="13"/>
                <w:color w:val="auto"/>
                <w:w w:val="92"/>
              </w:rPr>
              <w:t>N/A</w:t>
            </w:r>
          </w:p>
        </w:tc>
        <w:tc>
          <w:tcPr>
            <w:tcW w:w="200" w:type="dxa"/>
            <w:vAlign w:val="bottom"/>
          </w:tcPr>
          <w:p>
            <w:pPr>
              <w:spacing w:after="0"/>
              <w:rPr>
                <w:sz w:val="13"/>
                <w:szCs w:val="13"/>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2"/>
        </w:trPr>
        <w:tc>
          <w:tcPr>
            <w:tcW w:w="4040" w:type="dxa"/>
            <w:vAlign w:val="bottom"/>
            <w:gridSpan w:val="3"/>
          </w:tcPr>
          <w:p>
            <w:pPr>
              <w:ind w:left="720"/>
              <w:spacing w:after="0"/>
              <w:rPr>
                <w:sz w:val="20"/>
                <w:szCs w:val="20"/>
                <w:color w:val="auto"/>
              </w:rPr>
            </w:pPr>
            <w:r>
              <w:rPr>
                <w:rFonts w:ascii="Arial" w:cs="Arial" w:eastAsia="Arial" w:hAnsi="Arial"/>
                <w:sz w:val="13"/>
                <w:szCs w:val="13"/>
                <w:color w:val="auto"/>
              </w:rPr>
              <w:t>Securities registered pursuant to section 12(g) of the Act:</w:t>
            </w:r>
          </w:p>
        </w:tc>
        <w:tc>
          <w:tcPr>
            <w:tcW w:w="2700" w:type="dxa"/>
            <w:vAlign w:val="bottom"/>
            <w:gridSpan w:val="2"/>
            <w:vMerge w:val="restart"/>
          </w:tcPr>
          <w:p>
            <w:pPr>
              <w:ind w:left="780"/>
              <w:spacing w:after="0"/>
              <w:rPr>
                <w:sz w:val="20"/>
                <w:szCs w:val="20"/>
                <w:color w:val="auto"/>
              </w:rPr>
            </w:pPr>
            <w:r>
              <w:rPr>
                <w:rFonts w:ascii="Arial" w:cs="Arial" w:eastAsia="Arial" w:hAnsi="Arial"/>
                <w:sz w:val="13"/>
                <w:szCs w:val="13"/>
                <w:color w:val="auto"/>
              </w:rPr>
              <w:t>None.</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20"/>
        <w:spacing w:after="0"/>
        <w:rPr>
          <w:sz w:val="20"/>
          <w:szCs w:val="20"/>
          <w:color w:val="auto"/>
        </w:rPr>
      </w:pPr>
      <w:r>
        <w:rPr>
          <w:rFonts w:ascii="Arial" w:cs="Arial" w:eastAsia="Arial" w:hAnsi="Arial"/>
          <w:sz w:val="13"/>
          <w:szCs w:val="13"/>
          <w:color w:val="auto"/>
        </w:rPr>
        <w:t>Indicate by check mark if the registrants are well-known seasoned issuers, as defined in Rule 405 of the Securities Act.</w:t>
      </w:r>
    </w:p>
    <w:p>
      <w:pPr>
        <w:spacing w:after="0" w:line="33" w:lineRule="exact"/>
        <w:rPr>
          <w:sz w:val="24"/>
          <w:szCs w:val="24"/>
          <w:color w:val="auto"/>
        </w:rPr>
      </w:pPr>
    </w:p>
    <w:p>
      <w:pPr>
        <w:ind w:left="720"/>
        <w:spacing w:after="0" w:line="175" w:lineRule="exact"/>
        <w:rPr>
          <w:sz w:val="20"/>
          <w:szCs w:val="20"/>
          <w:color w:val="auto"/>
        </w:rPr>
      </w:pPr>
      <w:r>
        <w:rPr>
          <w:rFonts w:ascii="Arial" w:cs="Arial" w:eastAsia="Arial" w:hAnsi="Arial"/>
          <w:sz w:val="13"/>
          <w:szCs w:val="13"/>
          <w:color w:val="auto"/>
        </w:rPr>
        <w:t xml:space="preserve">Ferrellgas Partners, L.P.: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4" w:lineRule="exact"/>
        <w:rPr>
          <w:sz w:val="24"/>
          <w:szCs w:val="24"/>
          <w:color w:val="auto"/>
        </w:rPr>
      </w:pPr>
    </w:p>
    <w:p>
      <w:pPr>
        <w:ind w:left="720"/>
        <w:spacing w:after="0" w:line="175" w:lineRule="exact"/>
        <w:rPr>
          <w:sz w:val="20"/>
          <w:szCs w:val="20"/>
          <w:color w:val="auto"/>
        </w:rPr>
      </w:pPr>
      <w:r>
        <w:rPr>
          <w:rFonts w:ascii="Arial" w:cs="Arial" w:eastAsia="Arial" w:hAnsi="Arial"/>
          <w:sz w:val="13"/>
          <w:szCs w:val="13"/>
          <w:color w:val="auto"/>
        </w:rPr>
        <w:t xml:space="preserve">Ferrellgas Partners Finance Corp., Ferrellgas, L.P. and Ferrellgas Finance Corp.: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8" w:lineRule="exact"/>
        <w:rPr>
          <w:sz w:val="24"/>
          <w:szCs w:val="24"/>
          <w:color w:val="auto"/>
        </w:rPr>
      </w:pPr>
    </w:p>
    <w:p>
      <w:pPr>
        <w:ind w:left="720"/>
        <w:spacing w:after="0" w:line="175" w:lineRule="exact"/>
        <w:rPr>
          <w:sz w:val="20"/>
          <w:szCs w:val="20"/>
          <w:color w:val="auto"/>
        </w:rPr>
      </w:pPr>
      <w:r>
        <w:rPr>
          <w:rFonts w:ascii="Arial" w:cs="Arial" w:eastAsia="Arial" w:hAnsi="Arial"/>
          <w:sz w:val="13"/>
          <w:szCs w:val="13"/>
          <w:color w:val="auto"/>
        </w:rPr>
        <w:t xml:space="preserve">Indicate by check mark if the registrants are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right="360" w:firstLine="713"/>
        <w:spacing w:after="0" w:line="162" w:lineRule="exact"/>
        <w:rPr>
          <w:sz w:val="20"/>
          <w:szCs w:val="20"/>
          <w:color w:val="auto"/>
        </w:rPr>
      </w:pPr>
      <w:r>
        <w:rPr>
          <w:rFonts w:ascii="Arial" w:cs="Arial" w:eastAsia="Arial" w:hAnsi="Arial"/>
          <w:sz w:val="10"/>
          <w:szCs w:val="10"/>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ind w:right="120" w:firstLine="713"/>
        <w:spacing w:after="0" w:line="162" w:lineRule="exact"/>
        <w:rPr>
          <w:sz w:val="20"/>
          <w:szCs w:val="20"/>
          <w:color w:val="auto"/>
        </w:rPr>
      </w:pPr>
      <w:r>
        <w:rPr>
          <w:rFonts w:ascii="Arial" w:cs="Arial" w:eastAsia="Arial" w:hAnsi="Arial"/>
          <w:sz w:val="13"/>
          <w:szCs w:val="13"/>
          <w:color w:val="auto"/>
        </w:rPr>
        <w:t xml:space="preserve">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left="72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w:t>
      </w:r>
    </w:p>
    <w:p>
      <w:pPr>
        <w:spacing w:after="0" w:line="30" w:lineRule="exact"/>
        <w:rPr>
          <w:sz w:val="24"/>
          <w:szCs w:val="24"/>
          <w:color w:val="auto"/>
        </w:rPr>
      </w:pPr>
    </w:p>
    <w:p>
      <w:pPr>
        <w:spacing w:after="0"/>
        <w:rPr>
          <w:sz w:val="20"/>
          <w:szCs w:val="20"/>
          <w:color w:val="auto"/>
        </w:rPr>
      </w:pPr>
      <w:r>
        <w:rPr>
          <w:rFonts w:ascii="Arial" w:cs="Arial" w:eastAsia="Arial" w:hAnsi="Arial"/>
          <w:sz w:val="12"/>
          <w:szCs w:val="12"/>
          <w:color w:val="auto"/>
        </w:rPr>
        <w:t>See the definitions of “large accelerated filer,” “accelerated filer,” “smaller reporting company,” and “emerging growth company” in Rule 12b-2 of the Exchange Act. (Check one):</w:t>
      </w:r>
    </w:p>
    <w:p>
      <w:pPr>
        <w:spacing w:after="0" w:line="41" w:lineRule="exact"/>
        <w:rPr>
          <w:sz w:val="24"/>
          <w:szCs w:val="24"/>
          <w:color w:val="auto"/>
        </w:rPr>
      </w:pPr>
    </w:p>
    <w:p>
      <w:pPr>
        <w:ind w:left="20"/>
        <w:spacing w:after="0"/>
        <w:rPr>
          <w:sz w:val="20"/>
          <w:szCs w:val="20"/>
          <w:color w:val="auto"/>
        </w:rPr>
      </w:pPr>
      <w:r>
        <w:rPr>
          <w:rFonts w:ascii="Arial" w:cs="Arial" w:eastAsia="Arial" w:hAnsi="Arial"/>
          <w:sz w:val="13"/>
          <w:szCs w:val="13"/>
          <w:color w:val="auto"/>
        </w:rPr>
        <w:t>Ferrellgas Partners, L.P.:</w:t>
      </w:r>
    </w:p>
    <w:p>
      <w:pPr>
        <w:spacing w:after="0" w:line="11" w:lineRule="exact"/>
        <w:rPr>
          <w:sz w:val="24"/>
          <w:szCs w:val="24"/>
          <w:color w:val="auto"/>
        </w:rPr>
      </w:pPr>
    </w:p>
    <w:p>
      <w:pPr>
        <w:ind w:left="20"/>
        <w:spacing w:after="0" w:line="175" w:lineRule="exact"/>
        <w:tabs>
          <w:tab w:leader="none" w:pos="2440" w:val="left"/>
          <w:tab w:leader="none" w:pos="4300" w:val="left"/>
          <w:tab w:leader="none" w:pos="6120" w:val="left"/>
          <w:tab w:leader="none" w:pos="8120" w:val="left"/>
        </w:tabs>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3"/>
          <w:szCs w:val="13"/>
          <w:color w:val="auto"/>
        </w:rPr>
        <w:t>Ferrellgas Partners Finance Corp, Ferrellgas, L.P. and Ferrellgas Finance Corp.:</w:t>
      </w:r>
    </w:p>
    <w:p>
      <w:pPr>
        <w:spacing w:after="0" w:line="11" w:lineRule="exact"/>
        <w:rPr>
          <w:sz w:val="24"/>
          <w:szCs w:val="24"/>
          <w:color w:val="auto"/>
        </w:rPr>
      </w:pPr>
    </w:p>
    <w:p>
      <w:pPr>
        <w:ind w:left="20"/>
        <w:spacing w:after="0" w:line="175" w:lineRule="exact"/>
        <w:tabs>
          <w:tab w:leader="none" w:pos="2440" w:val="left"/>
          <w:tab w:leader="none" w:pos="4300" w:val="left"/>
          <w:tab w:leader="none" w:pos="6120" w:val="left"/>
          <w:tab w:leader="none" w:pos="8120" w:val="left"/>
        </w:tabs>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44" w:lineRule="exact"/>
        <w:rPr>
          <w:sz w:val="24"/>
          <w:szCs w:val="24"/>
          <w:color w:val="auto"/>
        </w:rPr>
      </w:pPr>
    </w:p>
    <w:p>
      <w:pPr>
        <w:ind w:right="520" w:firstLine="64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00" w:firstLine="648"/>
        <w:spacing w:after="0" w:line="162"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registrants are shell companies (as defined in Rule 12b-2 of the Exchange Act).</w:t>
      </w:r>
    </w:p>
    <w:p>
      <w:pPr>
        <w:spacing w:after="0" w:line="33" w:lineRule="exact"/>
        <w:rPr>
          <w:sz w:val="24"/>
          <w:szCs w:val="24"/>
          <w:color w:val="auto"/>
        </w:rPr>
      </w:pPr>
    </w:p>
    <w:p>
      <w:pPr>
        <w:ind w:left="660"/>
        <w:spacing w:after="0" w:line="175" w:lineRule="exact"/>
        <w:rPr>
          <w:sz w:val="20"/>
          <w:szCs w:val="20"/>
          <w:color w:val="auto"/>
        </w:rPr>
      </w:pPr>
      <w:r>
        <w:rPr>
          <w:rFonts w:ascii="Arial" w:cs="Arial" w:eastAsia="Arial" w:hAnsi="Arial"/>
          <w:sz w:val="13"/>
          <w:szCs w:val="13"/>
          <w:color w:val="auto"/>
        </w:rPr>
        <w:t xml:space="preserve">Ferrellgas Partners, L.P. and Ferrellgas, L.P.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4" w:lineRule="exact"/>
        <w:rPr>
          <w:sz w:val="24"/>
          <w:szCs w:val="24"/>
          <w:color w:val="auto"/>
        </w:rPr>
      </w:pPr>
    </w:p>
    <w:p>
      <w:pPr>
        <w:ind w:left="660"/>
        <w:spacing w:after="0" w:line="175" w:lineRule="exact"/>
        <w:rPr>
          <w:sz w:val="20"/>
          <w:szCs w:val="20"/>
          <w:color w:val="auto"/>
        </w:rPr>
      </w:pPr>
      <w:r>
        <w:rPr>
          <w:rFonts w:ascii="Arial" w:cs="Arial" w:eastAsia="Arial" w:hAnsi="Arial"/>
          <w:sz w:val="13"/>
          <w:szCs w:val="13"/>
          <w:color w:val="auto"/>
        </w:rPr>
        <w:t xml:space="preserve">Ferrellgas Partners Finance Corp. and Ferrellgas Finance Corp.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jc w:val="both"/>
        <w:ind w:right="60" w:firstLine="648"/>
        <w:spacing w:after="0" w:line="230" w:lineRule="auto"/>
        <w:rPr>
          <w:sz w:val="20"/>
          <w:szCs w:val="20"/>
          <w:color w:val="auto"/>
        </w:rPr>
      </w:pPr>
      <w:r>
        <w:rPr>
          <w:rFonts w:ascii="Arial" w:cs="Arial" w:eastAsia="Arial" w:hAnsi="Arial"/>
          <w:sz w:val="13"/>
          <w:szCs w:val="13"/>
          <w:color w:val="auto"/>
        </w:rPr>
        <w:t>The aggregate market value as of January 31, 2020, of Ferrellgas Partners, L.P.’s common units held by nonaffiliates of Ferrellgas Partners, L.P., based on the reported closing price of such units on the OTC Pink Market on such date, was approximately $24,544,217. There is no aggregate market value of the common equity of Ferrellgas Partners Finance Corp., Ferrellgas, L.P. and Ferrellgas Finance Corp. as their common equity is not sold or traded.</w:t>
      </w:r>
    </w:p>
    <w:p>
      <w:pPr>
        <w:spacing w:after="0" w:line="29" w:lineRule="exact"/>
        <w:rPr>
          <w:sz w:val="24"/>
          <w:szCs w:val="24"/>
          <w:color w:val="auto"/>
        </w:rPr>
      </w:pPr>
    </w:p>
    <w:tbl>
      <w:tblPr>
        <w:tblLayout w:type="fixed"/>
        <w:tblInd w:w="660" w:type="dxa"/>
        <w:tblCellMar>
          <w:top w:w="0" w:type="dxa"/>
          <w:left w:w="0" w:type="dxa"/>
          <w:bottom w:w="0" w:type="dxa"/>
          <w:right w:w="0" w:type="dxa"/>
        </w:tblCellMar>
      </w:tblPr>
      <w:tr>
        <w:trPr>
          <w:trHeight w:val="160"/>
        </w:trPr>
        <w:tc>
          <w:tcPr>
            <w:tcW w:w="5900" w:type="dxa"/>
            <w:vAlign w:val="bottom"/>
          </w:tcPr>
          <w:p>
            <w:pPr>
              <w:spacing w:after="0"/>
              <w:rPr>
                <w:sz w:val="20"/>
                <w:szCs w:val="20"/>
                <w:color w:val="auto"/>
              </w:rPr>
            </w:pPr>
            <w:r>
              <w:rPr>
                <w:rFonts w:ascii="Arial" w:cs="Arial" w:eastAsia="Arial" w:hAnsi="Arial"/>
                <w:sz w:val="13"/>
                <w:szCs w:val="13"/>
                <w:color w:val="auto"/>
                <w:w w:val="97"/>
              </w:rPr>
              <w:t>At August 31, 2020, the registrants had common units or shares of common stock outstanding as follows:</w:t>
            </w: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7"/>
        </w:trPr>
        <w:tc>
          <w:tcPr>
            <w:tcW w:w="5900" w:type="dxa"/>
            <w:vAlign w:val="bottom"/>
          </w:tcPr>
          <w:p>
            <w:pPr>
              <w:ind w:left="360"/>
              <w:spacing w:after="0"/>
              <w:rPr>
                <w:sz w:val="20"/>
                <w:szCs w:val="20"/>
                <w:color w:val="auto"/>
              </w:rPr>
            </w:pPr>
            <w:r>
              <w:rPr>
                <w:rFonts w:ascii="Arial" w:cs="Arial" w:eastAsia="Arial" w:hAnsi="Arial"/>
                <w:sz w:val="13"/>
                <w:szCs w:val="13"/>
                <w:color w:val="auto"/>
              </w:rPr>
              <w:t>Ferrellgas Partners, L.P.</w:t>
            </w:r>
          </w:p>
        </w:tc>
        <w:tc>
          <w:tcPr>
            <w:tcW w:w="1340" w:type="dxa"/>
            <w:vAlign w:val="bottom"/>
          </w:tcPr>
          <w:p>
            <w:pPr>
              <w:jc w:val="center"/>
              <w:ind w:left="357"/>
              <w:spacing w:after="0"/>
              <w:rPr>
                <w:sz w:val="20"/>
                <w:szCs w:val="20"/>
                <w:color w:val="auto"/>
              </w:rPr>
            </w:pPr>
            <w:r>
              <w:rPr>
                <w:rFonts w:ascii="Arial" w:cs="Arial" w:eastAsia="Arial" w:hAnsi="Arial"/>
                <w:sz w:val="13"/>
                <w:szCs w:val="13"/>
                <w:color w:val="auto"/>
                <w:w w:val="86"/>
              </w:rPr>
              <w:t>97,152,665</w:t>
            </w:r>
          </w:p>
        </w:tc>
        <w:tc>
          <w:tcPr>
            <w:tcW w:w="960" w:type="dxa"/>
            <w:vAlign w:val="bottom"/>
          </w:tcPr>
          <w:p>
            <w:pPr>
              <w:jc w:val="center"/>
              <w:ind w:left="117"/>
              <w:spacing w:after="0"/>
              <w:rPr>
                <w:sz w:val="20"/>
                <w:szCs w:val="20"/>
                <w:color w:val="auto"/>
              </w:rPr>
            </w:pPr>
            <w:r>
              <w:rPr>
                <w:rFonts w:ascii="Arial" w:cs="Arial" w:eastAsia="Arial" w:hAnsi="Arial"/>
                <w:sz w:val="13"/>
                <w:szCs w:val="13"/>
                <w:color w:val="auto"/>
                <w:w w:val="90"/>
              </w:rPr>
              <w:t>Common Units</w:t>
            </w:r>
          </w:p>
        </w:tc>
      </w:tr>
      <w:tr>
        <w:trPr>
          <w:trHeight w:val="149"/>
        </w:trPr>
        <w:tc>
          <w:tcPr>
            <w:tcW w:w="5900" w:type="dxa"/>
            <w:vAlign w:val="bottom"/>
          </w:tcPr>
          <w:p>
            <w:pPr>
              <w:ind w:left="360"/>
              <w:spacing w:after="0"/>
              <w:rPr>
                <w:sz w:val="20"/>
                <w:szCs w:val="20"/>
                <w:color w:val="auto"/>
              </w:rPr>
            </w:pPr>
            <w:r>
              <w:rPr>
                <w:rFonts w:ascii="Arial" w:cs="Arial" w:eastAsia="Arial" w:hAnsi="Arial"/>
                <w:sz w:val="13"/>
                <w:szCs w:val="13"/>
                <w:color w:val="auto"/>
              </w:rPr>
              <w:t>Ferrellgas Partners Finance Corp.</w:t>
            </w:r>
          </w:p>
        </w:tc>
        <w:tc>
          <w:tcPr>
            <w:tcW w:w="1340" w:type="dxa"/>
            <w:vAlign w:val="bottom"/>
          </w:tcPr>
          <w:p>
            <w:pPr>
              <w:jc w:val="center"/>
              <w:ind w:left="357"/>
              <w:spacing w:after="0"/>
              <w:rPr>
                <w:sz w:val="20"/>
                <w:szCs w:val="20"/>
                <w:color w:val="auto"/>
              </w:rPr>
            </w:pPr>
            <w:r>
              <w:rPr>
                <w:rFonts w:ascii="Arial" w:cs="Arial" w:eastAsia="Arial" w:hAnsi="Arial"/>
                <w:sz w:val="13"/>
                <w:szCs w:val="13"/>
                <w:color w:val="auto"/>
                <w:w w:val="85"/>
              </w:rPr>
              <w:t>1,000</w:t>
            </w:r>
          </w:p>
        </w:tc>
        <w:tc>
          <w:tcPr>
            <w:tcW w:w="960" w:type="dxa"/>
            <w:vAlign w:val="bottom"/>
          </w:tcPr>
          <w:p>
            <w:pPr>
              <w:jc w:val="center"/>
              <w:ind w:left="117"/>
              <w:spacing w:after="0"/>
              <w:rPr>
                <w:sz w:val="20"/>
                <w:szCs w:val="20"/>
                <w:color w:val="auto"/>
              </w:rPr>
            </w:pPr>
            <w:r>
              <w:rPr>
                <w:rFonts w:ascii="Arial" w:cs="Arial" w:eastAsia="Arial" w:hAnsi="Arial"/>
                <w:sz w:val="13"/>
                <w:szCs w:val="13"/>
                <w:color w:val="auto"/>
                <w:w w:val="87"/>
              </w:rPr>
              <w:t>Common Stock</w:t>
            </w:r>
          </w:p>
        </w:tc>
      </w:tr>
      <w:tr>
        <w:trPr>
          <w:trHeight w:val="149"/>
        </w:trPr>
        <w:tc>
          <w:tcPr>
            <w:tcW w:w="5900" w:type="dxa"/>
            <w:vAlign w:val="bottom"/>
          </w:tcPr>
          <w:p>
            <w:pPr>
              <w:ind w:left="360"/>
              <w:spacing w:after="0"/>
              <w:rPr>
                <w:sz w:val="20"/>
                <w:szCs w:val="20"/>
                <w:color w:val="auto"/>
              </w:rPr>
            </w:pPr>
            <w:r>
              <w:rPr>
                <w:rFonts w:ascii="Arial" w:cs="Arial" w:eastAsia="Arial" w:hAnsi="Arial"/>
                <w:sz w:val="13"/>
                <w:szCs w:val="13"/>
                <w:color w:val="auto"/>
              </w:rPr>
              <w:t>Ferrellgas, L.P.</w:t>
            </w:r>
          </w:p>
        </w:tc>
        <w:tc>
          <w:tcPr>
            <w:tcW w:w="1340" w:type="dxa"/>
            <w:vAlign w:val="bottom"/>
          </w:tcPr>
          <w:p>
            <w:pPr>
              <w:ind w:left="800"/>
              <w:spacing w:after="0"/>
              <w:rPr>
                <w:sz w:val="20"/>
                <w:szCs w:val="20"/>
                <w:color w:val="auto"/>
              </w:rPr>
            </w:pPr>
            <w:r>
              <w:rPr>
                <w:rFonts w:ascii="Arial" w:cs="Arial" w:eastAsia="Arial" w:hAnsi="Arial"/>
                <w:sz w:val="13"/>
                <w:szCs w:val="13"/>
                <w:color w:val="auto"/>
              </w:rPr>
              <w:t>n/a</w:t>
            </w:r>
          </w:p>
        </w:tc>
        <w:tc>
          <w:tcPr>
            <w:tcW w:w="960" w:type="dxa"/>
            <w:vAlign w:val="bottom"/>
          </w:tcPr>
          <w:p>
            <w:pPr>
              <w:jc w:val="center"/>
              <w:ind w:left="137"/>
              <w:spacing w:after="0"/>
              <w:rPr>
                <w:sz w:val="20"/>
                <w:szCs w:val="20"/>
                <w:color w:val="auto"/>
              </w:rPr>
            </w:pPr>
            <w:r>
              <w:rPr>
                <w:rFonts w:ascii="Arial" w:cs="Arial" w:eastAsia="Arial" w:hAnsi="Arial"/>
                <w:sz w:val="13"/>
                <w:szCs w:val="13"/>
                <w:color w:val="auto"/>
                <w:w w:val="88"/>
              </w:rPr>
              <w:t>n/a</w:t>
            </w:r>
          </w:p>
        </w:tc>
      </w:tr>
      <w:tr>
        <w:trPr>
          <w:trHeight w:val="160"/>
        </w:trPr>
        <w:tc>
          <w:tcPr>
            <w:tcW w:w="5900" w:type="dxa"/>
            <w:vAlign w:val="bottom"/>
          </w:tcPr>
          <w:p>
            <w:pPr>
              <w:ind w:left="360"/>
              <w:spacing w:after="0"/>
              <w:rPr>
                <w:sz w:val="20"/>
                <w:szCs w:val="20"/>
                <w:color w:val="auto"/>
              </w:rPr>
            </w:pPr>
            <w:r>
              <w:rPr>
                <w:rFonts w:ascii="Arial" w:cs="Arial" w:eastAsia="Arial" w:hAnsi="Arial"/>
                <w:sz w:val="13"/>
                <w:szCs w:val="13"/>
                <w:color w:val="auto"/>
              </w:rPr>
              <w:t>Ferrellgas Finance Corp.</w:t>
            </w:r>
          </w:p>
        </w:tc>
        <w:tc>
          <w:tcPr>
            <w:tcW w:w="1340" w:type="dxa"/>
            <w:vAlign w:val="bottom"/>
          </w:tcPr>
          <w:p>
            <w:pPr>
              <w:jc w:val="center"/>
              <w:ind w:left="357"/>
              <w:spacing w:after="0"/>
              <w:rPr>
                <w:sz w:val="20"/>
                <w:szCs w:val="20"/>
                <w:color w:val="auto"/>
              </w:rPr>
            </w:pPr>
            <w:r>
              <w:rPr>
                <w:rFonts w:ascii="Arial" w:cs="Arial" w:eastAsia="Arial" w:hAnsi="Arial"/>
                <w:sz w:val="13"/>
                <w:szCs w:val="13"/>
                <w:color w:val="auto"/>
                <w:w w:val="85"/>
              </w:rPr>
              <w:t>1,000</w:t>
            </w:r>
          </w:p>
        </w:tc>
        <w:tc>
          <w:tcPr>
            <w:tcW w:w="960" w:type="dxa"/>
            <w:vAlign w:val="bottom"/>
          </w:tcPr>
          <w:p>
            <w:pPr>
              <w:jc w:val="center"/>
              <w:ind w:left="117"/>
              <w:spacing w:after="0"/>
              <w:rPr>
                <w:sz w:val="20"/>
                <w:szCs w:val="20"/>
                <w:color w:val="auto"/>
              </w:rPr>
            </w:pPr>
            <w:r>
              <w:rPr>
                <w:rFonts w:ascii="Arial" w:cs="Arial" w:eastAsia="Arial" w:hAnsi="Arial"/>
                <w:sz w:val="13"/>
                <w:szCs w:val="13"/>
                <w:color w:val="auto"/>
                <w:w w:val="87"/>
              </w:rPr>
              <w:t>Common Stock</w:t>
            </w:r>
          </w:p>
        </w:tc>
      </w:tr>
    </w:tbl>
    <w:p>
      <w:pPr>
        <w:spacing w:after="0" w:line="56" w:lineRule="exact"/>
        <w:rPr>
          <w:sz w:val="24"/>
          <w:szCs w:val="24"/>
          <w:color w:val="auto"/>
        </w:rPr>
      </w:pPr>
    </w:p>
    <w:p>
      <w:pPr>
        <w:ind w:left="660"/>
        <w:spacing w:after="0"/>
        <w:rPr>
          <w:sz w:val="20"/>
          <w:szCs w:val="20"/>
          <w:color w:val="auto"/>
        </w:rPr>
      </w:pPr>
      <w:r>
        <w:rPr>
          <w:rFonts w:ascii="Arial" w:cs="Arial" w:eastAsia="Arial" w:hAnsi="Arial"/>
          <w:sz w:val="13"/>
          <w:szCs w:val="13"/>
          <w:color w:val="auto"/>
        </w:rPr>
        <w:t>Documents Incorporated by Reference: None</w:t>
      </w:r>
    </w:p>
    <w:p>
      <w:pPr>
        <w:spacing w:after="0" w:line="4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EACH OF FERRELLGAS PARTNERS FINANCE CORP. AND FERRELLGAS FINANCE CORP. MEET THE CONDITIONS SET FORTH IN GENERAL INSTRUCTION I(1)</w:t>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(A) AND (B) OF FORM 10-K AND ARE THEREFORE, FILING THIS FORM 10-K WITH THE REDUCED DISCLOSURE FORMAT WITH RESPECT TO EACH SUCH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43815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86360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FINANCE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FINANCE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July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ANNUAL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4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1</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1A.</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1B</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UNRESOLVED STAFF COMMENTS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2</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PROPERTIES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47">
              <w:r>
                <w:rPr>
                  <w:rFonts w:ascii="Arial" w:cs="Arial" w:eastAsia="Arial" w:hAnsi="Arial"/>
                  <w:sz w:val="18"/>
                  <w:szCs w:val="18"/>
                  <w:u w:val="single" w:color="auto"/>
                  <w:color w:val="0000EE"/>
                </w:rPr>
                <w:t>3</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48">
              <w:r>
                <w:rPr>
                  <w:rFonts w:ascii="Arial" w:cs="Arial" w:eastAsia="Arial" w:hAnsi="Arial"/>
                  <w:sz w:val="18"/>
                  <w:szCs w:val="18"/>
                  <w:u w:val="single" w:color="auto"/>
                  <w:color w:val="0000EE"/>
                </w:rPr>
                <w:t>4</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PART II</w:t>
              </w:r>
            </w:hyperlink>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0"/>
        </w:trPr>
        <w:tc>
          <w:tcPr>
            <w:tcW w:w="740" w:type="dxa"/>
            <w:vAlign w:val="bottom"/>
          </w:tcPr>
          <w:p>
            <w:pPr>
              <w:spacing w:after="0" w:line="190"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w:t>
              </w:r>
            </w:hyperlink>
          </w:p>
        </w:tc>
        <w:tc>
          <w:tcPr>
            <w:tcW w:w="440" w:type="dxa"/>
            <w:vAlign w:val="bottom"/>
          </w:tcPr>
          <w:p>
            <w:pPr>
              <w:ind w:left="60"/>
              <w:spacing w:after="0" w:line="190" w:lineRule="exact"/>
              <w:rPr>
                <w:rFonts w:ascii="Arial" w:cs="Arial" w:eastAsia="Arial" w:hAnsi="Arial"/>
                <w:sz w:val="18"/>
                <w:szCs w:val="18"/>
                <w:color w:val="0000EE"/>
              </w:rPr>
            </w:pPr>
            <w:hyperlink w:anchor="page48">
              <w:r>
                <w:rPr>
                  <w:rFonts w:ascii="Arial" w:cs="Arial" w:eastAsia="Arial" w:hAnsi="Arial"/>
                  <w:sz w:val="18"/>
                  <w:szCs w:val="18"/>
                  <w:u w:val="single" w:color="auto"/>
                  <w:color w:val="0000EE"/>
                </w:rPr>
                <w:t>5</w:t>
              </w:r>
              <w:r>
                <w:rPr>
                  <w:rFonts w:ascii="Arial" w:cs="Arial" w:eastAsia="Arial" w:hAnsi="Arial"/>
                  <w:sz w:val="18"/>
                  <w:szCs w:val="18"/>
                  <w:color w:val="0000EE"/>
                </w:rPr>
                <w:t>.</w:t>
              </w:r>
            </w:hyperlink>
          </w:p>
        </w:tc>
        <w:tc>
          <w:tcPr>
            <w:tcW w:w="7300" w:type="dxa"/>
            <w:vAlign w:val="bottom"/>
            <w:gridSpan w:val="10"/>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MARKET FOR REGISTRANTS’ COMMON EQUITY, RELATED UNITHOLDER AND</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560" w:type="dxa"/>
            <w:vAlign w:val="bottom"/>
            <w:tcBorders>
              <w:top w:val="single" w:sz="8" w:color="0000EE"/>
            </w:tcBorders>
            <w:gridSpan w:val="6"/>
          </w:tcPr>
          <w:p>
            <w:pPr>
              <w:spacing w:after="0"/>
              <w:rPr>
                <w:rFonts w:ascii="Arial" w:cs="Arial" w:eastAsia="Arial" w:hAnsi="Arial"/>
                <w:sz w:val="18"/>
                <w:szCs w:val="18"/>
                <w:u w:val="single" w:color="auto"/>
                <w:color w:val="0000EE"/>
                <w:w w:val="96"/>
              </w:rPr>
            </w:pPr>
            <w:hyperlink w:anchor="page48">
              <w:r>
                <w:rPr>
                  <w:rFonts w:ascii="Arial" w:cs="Arial" w:eastAsia="Arial" w:hAnsi="Arial"/>
                  <w:sz w:val="18"/>
                  <w:szCs w:val="18"/>
                  <w:u w:val="single" w:color="auto"/>
                  <w:color w:val="0000EE"/>
                  <w:w w:val="96"/>
                </w:rPr>
                <w:t>STOCKHOLDER MATTERS AND ISSUER PURCHASES OF EQUITY SECURITIES</w:t>
              </w:r>
            </w:hyperlink>
          </w:p>
        </w:tc>
        <w:tc>
          <w:tcPr>
            <w:tcW w:w="740" w:type="dxa"/>
            <w:vAlign w:val="bottom"/>
            <w:gridSpan w:val="4"/>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50">
              <w:r>
                <w:rPr>
                  <w:rFonts w:ascii="Arial" w:cs="Arial" w:eastAsia="Arial" w:hAnsi="Arial"/>
                  <w:sz w:val="18"/>
                  <w:szCs w:val="18"/>
                  <w:u w:val="single" w:color="auto"/>
                  <w:color w:val="0000EE"/>
                </w:rPr>
                <w:t>6</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SELECTED FINANCIAL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740" w:type="dxa"/>
            <w:vAlign w:val="bottom"/>
          </w:tcPr>
          <w:p>
            <w:pPr>
              <w:spacing w:after="0" w:line="190"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w:t>
              </w:r>
            </w:hyperlink>
          </w:p>
        </w:tc>
        <w:tc>
          <w:tcPr>
            <w:tcW w:w="440" w:type="dxa"/>
            <w:vAlign w:val="bottom"/>
          </w:tcPr>
          <w:p>
            <w:pPr>
              <w:ind w:left="60"/>
              <w:spacing w:after="0" w:line="190" w:lineRule="exact"/>
              <w:rPr>
                <w:rFonts w:ascii="Arial" w:cs="Arial" w:eastAsia="Arial" w:hAnsi="Arial"/>
                <w:sz w:val="18"/>
                <w:szCs w:val="18"/>
                <w:color w:val="0000EE"/>
              </w:rPr>
            </w:pPr>
            <w:hyperlink w:anchor="page54">
              <w:r>
                <w:rPr>
                  <w:rFonts w:ascii="Arial" w:cs="Arial" w:eastAsia="Arial" w:hAnsi="Arial"/>
                  <w:sz w:val="18"/>
                  <w:szCs w:val="18"/>
                  <w:u w:val="single" w:color="auto"/>
                  <w:color w:val="0000EE"/>
                </w:rPr>
                <w:t>7</w:t>
              </w:r>
              <w:r>
                <w:rPr>
                  <w:rFonts w:ascii="Arial" w:cs="Arial" w:eastAsia="Arial" w:hAnsi="Arial"/>
                  <w:sz w:val="18"/>
                  <w:szCs w:val="18"/>
                  <w:color w:val="0000EE"/>
                </w:rPr>
                <w:t>.</w:t>
              </w:r>
            </w:hyperlink>
          </w:p>
        </w:tc>
        <w:tc>
          <w:tcPr>
            <w:tcW w:w="6680" w:type="dxa"/>
            <w:vAlign w:val="bottom"/>
            <w:tcBorders>
              <w:bottom w:val="single" w:sz="8" w:color="0000EE"/>
            </w:tcBorders>
            <w:gridSpan w:val="7"/>
          </w:tcPr>
          <w:p>
            <w:pPr>
              <w:spacing w:after="0" w:line="190"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MANAGEMENT’S DISCUSSION AND ANALYSIS OF FINANCIAL CONDITION AND</w:t>
              </w:r>
            </w:hyperlink>
          </w:p>
        </w:tc>
        <w:tc>
          <w:tcPr>
            <w:tcW w:w="62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RESULTS OF OPERATIONS</w:t>
              </w:r>
            </w:hyperlink>
          </w:p>
        </w:tc>
        <w:tc>
          <w:tcPr>
            <w:tcW w:w="51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7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7A.</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color w:val="0000EE"/>
              </w:rPr>
            </w:pPr>
            <w:hyperlink w:anchor="page80">
              <w:r>
                <w:rPr>
                  <w:rFonts w:ascii="Arial" w:cs="Arial" w:eastAsia="Arial" w:hAnsi="Arial"/>
                  <w:sz w:val="18"/>
                  <w:szCs w:val="18"/>
                  <w:u w:val="single" w:color="auto"/>
                  <w:color w:val="0000EE"/>
                </w:rPr>
                <w:t>8</w:t>
              </w:r>
              <w:r>
                <w:rPr>
                  <w:rFonts w:ascii="Arial" w:cs="Arial" w:eastAsia="Arial" w:hAnsi="Arial"/>
                  <w:sz w:val="18"/>
                  <w:szCs w:val="18"/>
                  <w:color w:val="0000EE"/>
                </w:rPr>
                <w:t>.</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FINANCIAL STATEMENTS AND SUPPLEMENTARY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0"/>
        </w:trPr>
        <w:tc>
          <w:tcPr>
            <w:tcW w:w="740" w:type="dxa"/>
            <w:vAlign w:val="bottom"/>
          </w:tcPr>
          <w:p>
            <w:pPr>
              <w:spacing w:after="0" w:line="190" w:lineRule="exact"/>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w:t>
              </w:r>
            </w:hyperlink>
          </w:p>
        </w:tc>
        <w:tc>
          <w:tcPr>
            <w:tcW w:w="440" w:type="dxa"/>
            <w:vAlign w:val="bottom"/>
          </w:tcPr>
          <w:p>
            <w:pPr>
              <w:ind w:left="60"/>
              <w:spacing w:after="0" w:line="190" w:lineRule="exact"/>
              <w:rPr>
                <w:rFonts w:ascii="Arial" w:cs="Arial" w:eastAsia="Arial" w:hAnsi="Arial"/>
                <w:sz w:val="18"/>
                <w:szCs w:val="18"/>
                <w:color w:val="0000EE"/>
              </w:rPr>
            </w:pPr>
            <w:hyperlink w:anchor="page80">
              <w:r>
                <w:rPr>
                  <w:rFonts w:ascii="Arial" w:cs="Arial" w:eastAsia="Arial" w:hAnsi="Arial"/>
                  <w:sz w:val="18"/>
                  <w:szCs w:val="18"/>
                  <w:u w:val="single" w:color="auto"/>
                  <w:color w:val="0000EE"/>
                </w:rPr>
                <w:t>9</w:t>
              </w:r>
              <w:r>
                <w:rPr>
                  <w:rFonts w:ascii="Arial" w:cs="Arial" w:eastAsia="Arial" w:hAnsi="Arial"/>
                  <w:sz w:val="18"/>
                  <w:szCs w:val="18"/>
                  <w:color w:val="0000EE"/>
                </w:rPr>
                <w:t>.</w:t>
              </w:r>
            </w:hyperlink>
          </w:p>
        </w:tc>
        <w:tc>
          <w:tcPr>
            <w:tcW w:w="6920" w:type="dxa"/>
            <w:vAlign w:val="bottom"/>
            <w:tcBorders>
              <w:bottom w:val="single" w:sz="8" w:color="0000EE"/>
            </w:tcBorders>
            <w:gridSpan w:val="8"/>
          </w:tcPr>
          <w:p>
            <w:pPr>
              <w:spacing w:after="0" w:line="190"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CHANGES IN AND DISAGREEMENTS WITH ACCOUNTANTS ON ACCOUNTING AND</w:t>
              </w:r>
            </w:hyperlink>
          </w:p>
        </w:tc>
        <w:tc>
          <w:tcPr>
            <w:tcW w:w="38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FINANCIAL DISCLOSURE</w:t>
              </w:r>
            </w:hyperlink>
          </w:p>
        </w:tc>
        <w:tc>
          <w:tcPr>
            <w:tcW w:w="51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7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9A.</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w:t>
              </w:r>
            </w:hyperlink>
          </w:p>
        </w:tc>
        <w:tc>
          <w:tcPr>
            <w:tcW w:w="7740" w:type="dxa"/>
            <w:vAlign w:val="bottom"/>
            <w:gridSpan w:val="11"/>
          </w:tcPr>
          <w:p>
            <w:pPr>
              <w:ind w:left="60"/>
              <w:spacing w:after="0"/>
              <w:rPr>
                <w:rFonts w:ascii="Arial" w:cs="Arial" w:eastAsia="Arial" w:hAnsi="Arial"/>
                <w:sz w:val="18"/>
                <w:szCs w:val="18"/>
                <w:color w:val="0000EE"/>
              </w:rPr>
            </w:pPr>
            <w:hyperlink w:anchor="page82">
              <w:r>
                <w:rPr>
                  <w:rFonts w:ascii="Arial" w:cs="Arial" w:eastAsia="Arial" w:hAnsi="Arial"/>
                  <w:sz w:val="18"/>
                  <w:szCs w:val="18"/>
                  <w:u w:val="single" w:color="auto"/>
                  <w:color w:val="0000EE"/>
                </w:rPr>
                <w:t>9B</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PART III</w:t>
              </w:r>
            </w:hyperlink>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10.</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11.</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EXECUTIVE COMPENSATION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0"/>
        </w:trPr>
        <w:tc>
          <w:tcPr>
            <w:tcW w:w="740" w:type="dxa"/>
            <w:vAlign w:val="bottom"/>
          </w:tcPr>
          <w:p>
            <w:pPr>
              <w:spacing w:after="0" w:line="190"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w:t>
              </w:r>
            </w:hyperlink>
          </w:p>
        </w:tc>
        <w:tc>
          <w:tcPr>
            <w:tcW w:w="440" w:type="dxa"/>
            <w:vAlign w:val="bottom"/>
          </w:tcPr>
          <w:p>
            <w:pPr>
              <w:ind w:left="60"/>
              <w:spacing w:after="0" w:line="190"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12.</w:t>
              </w:r>
            </w:hyperlink>
          </w:p>
        </w:tc>
        <w:tc>
          <w:tcPr>
            <w:tcW w:w="7160" w:type="dxa"/>
            <w:vAlign w:val="bottom"/>
            <w:tcBorders>
              <w:bottom w:val="single" w:sz="8" w:color="0000EE"/>
            </w:tcBorders>
            <w:gridSpan w:val="9"/>
          </w:tcPr>
          <w:p>
            <w:pPr>
              <w:spacing w:after="0" w:line="190"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SECURITY OWNERSHIP OF CERTAIN BENEFICIAL OWNERS AND MANAGEMENT AND</w:t>
              </w:r>
            </w:hyperlink>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94">
              <w:r>
                <w:rPr>
                  <w:rFonts w:ascii="Arial" w:cs="Arial" w:eastAsia="Arial" w:hAnsi="Arial"/>
                  <w:sz w:val="18"/>
                  <w:szCs w:val="18"/>
                  <w:color w:val="0000EE"/>
                  <w:w w:val="95"/>
                </w:rPr>
                <w:t>RELATED UNITHOLDER MATTERS</w:t>
              </w:r>
            </w:hyperlink>
          </w:p>
        </w:tc>
        <w:tc>
          <w:tcPr>
            <w:tcW w:w="444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w:t>
              </w:r>
            </w:hyperlink>
          </w:p>
        </w:tc>
        <w:tc>
          <w:tcPr>
            <w:tcW w:w="440" w:type="dxa"/>
            <w:vAlign w:val="bottom"/>
          </w:tcPr>
          <w:p>
            <w:pPr>
              <w:ind w:left="60"/>
              <w:spacing w:after="0" w:line="196"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13.</w:t>
              </w:r>
            </w:hyperlink>
          </w:p>
        </w:tc>
        <w:tc>
          <w:tcPr>
            <w:tcW w:w="628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CERTAIN RELATIONSHIPS AND RELATED TRANSACTIONS, AND DIRECTOR</w:t>
              </w:r>
            </w:hyperlink>
          </w:p>
        </w:tc>
        <w:tc>
          <w:tcPr>
            <w:tcW w:w="102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INDEPENDENCE</w:t>
              </w:r>
            </w:hyperlink>
          </w:p>
        </w:tc>
        <w:tc>
          <w:tcPr>
            <w:tcW w:w="594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2"/>
        </w:trPr>
        <w:tc>
          <w:tcPr>
            <w:tcW w:w="74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14.</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PART IV</w:t>
              </w:r>
            </w:hyperlink>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15.</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EXHIBITS,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30"/>
        </w:trPr>
        <w:tc>
          <w:tcPr>
            <w:tcW w:w="74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w:t>
              </w:r>
            </w:hyperlink>
          </w:p>
        </w:tc>
        <w:tc>
          <w:tcPr>
            <w:tcW w:w="440" w:type="dxa"/>
            <w:vAlign w:val="bottom"/>
          </w:tcPr>
          <w:p>
            <w:pPr>
              <w:ind w:left="6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16.</w:t>
              </w:r>
            </w:hyperlink>
          </w:p>
        </w:tc>
        <w:tc>
          <w:tcPr>
            <w:tcW w:w="7300" w:type="dxa"/>
            <w:vAlign w:val="bottom"/>
            <w:gridSpan w:val="10"/>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FORM 10-K SUMMARY</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E-6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Annual Report on Form 10-K, unless the context indicates otherwise:</w:t>
      </w:r>
    </w:p>
    <w:p>
      <w:pPr>
        <w:spacing w:after="0" w:line="225" w:lineRule="exact"/>
        <w:rPr>
          <w:sz w:val="20"/>
          <w:szCs w:val="20"/>
          <w:color w:val="auto"/>
        </w:rPr>
      </w:pPr>
    </w:p>
    <w:p>
      <w:pPr>
        <w:ind w:left="1020" w:right="239" w:hanging="322"/>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“us,” “we,” “our,” “ours,” “consolidated,” or “Ferrellgas” are references exclusively to Ferrellgas Partners, L.P. together with its consolidated subsidiaries, including Ferrellgas Partners Finance Corp., Ferrellgas, L.P. and Ferrellgas Finance Corp., except when used in connection with “common units,” in which case these terms refer to Ferrellgas Partners, L.P. without its consolidated subsidiaries;</w:t>
      </w:r>
    </w:p>
    <w:p>
      <w:pPr>
        <w:spacing w:after="0" w:line="171" w:lineRule="exact"/>
        <w:rPr>
          <w:rFonts w:ascii="Arial" w:cs="Arial" w:eastAsia="Arial" w:hAnsi="Arial"/>
          <w:sz w:val="17"/>
          <w:szCs w:val="17"/>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“Ferrellgas Partners” refers to Ferrellgas Partners, L.P. itself, without its consolidated subsidiaries;</w:t>
      </w:r>
    </w:p>
    <w:p>
      <w:pPr>
        <w:spacing w:after="0" w:line="225" w:lineRule="exact"/>
        <w:rPr>
          <w:rFonts w:ascii="Arial" w:cs="Arial" w:eastAsia="Arial" w:hAnsi="Arial"/>
          <w:sz w:val="18"/>
          <w:szCs w:val="18"/>
          <w:color w:val="auto"/>
        </w:rPr>
      </w:pPr>
    </w:p>
    <w:p>
      <w:pPr>
        <w:ind w:left="1020" w:right="379" w:hanging="32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“operating partnership” refers to Ferrellgas, L.P., together with its consolidated subsidiaries, including Ferrellgas Finance Corp.;</w:t>
      </w:r>
    </w:p>
    <w:p>
      <w:pPr>
        <w:spacing w:after="0" w:line="170" w:lineRule="exact"/>
        <w:rPr>
          <w:rFonts w:ascii="Arial" w:cs="Arial" w:eastAsia="Arial" w:hAnsi="Arial"/>
          <w:sz w:val="18"/>
          <w:szCs w:val="18"/>
          <w:color w:val="auto"/>
        </w:rPr>
      </w:pPr>
    </w:p>
    <w:p>
      <w:pPr>
        <w:ind w:left="1020" w:right="99" w:hanging="322"/>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partner” (i) with respect to Ferrellgas Partners refers to Ferrellgas, Inc. and (ii) with respect to the operating partnership refers to (a) Ferrellgas, Inc., in the case of any economic general partner interest and (b) Ferrellgas, Inc., Ferrellgas GP II, LLC and Ferrellgas GP III, LLC, collectively, in the case of any voting general partner interest;</w:t>
      </w:r>
    </w:p>
    <w:p>
      <w:pPr>
        <w:spacing w:after="0" w:line="186" w:lineRule="exact"/>
        <w:rPr>
          <w:rFonts w:ascii="Arial" w:cs="Arial" w:eastAsia="Arial" w:hAnsi="Arial"/>
          <w:sz w:val="18"/>
          <w:szCs w:val="18"/>
          <w:color w:val="auto"/>
        </w:rPr>
      </w:pPr>
    </w:p>
    <w:p>
      <w:pPr>
        <w:ind w:left="1060" w:hanging="36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“Ferrell Companies” refers to Ferrell Companies, Inc., the sole shareholder of our general partner;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“unitholders” refers to holders of common units of Ferrellgas Partners;</w:t>
      </w:r>
    </w:p>
    <w:p>
      <w:pPr>
        <w:spacing w:after="0" w:line="225" w:lineRule="exact"/>
        <w:rPr>
          <w:rFonts w:ascii="Arial" w:cs="Arial" w:eastAsia="Arial" w:hAnsi="Arial"/>
          <w:sz w:val="18"/>
          <w:szCs w:val="18"/>
          <w:color w:val="auto"/>
        </w:rPr>
      </w:pPr>
    </w:p>
    <w:p>
      <w:pPr>
        <w:ind w:left="1020" w:right="579" w:hanging="32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of Directors” or “Board” refer to the board of directors of our general partner, except where the context indicates otherwise;</w:t>
      </w:r>
    </w:p>
    <w:p>
      <w:pPr>
        <w:spacing w:after="0" w:line="170" w:lineRule="exact"/>
        <w:rPr>
          <w:rFonts w:ascii="Arial" w:cs="Arial" w:eastAsia="Arial" w:hAnsi="Arial"/>
          <w:sz w:val="18"/>
          <w:szCs w:val="18"/>
          <w:color w:val="auto"/>
        </w:rPr>
      </w:pPr>
    </w:p>
    <w:p>
      <w:pPr>
        <w:ind w:left="1020" w:right="539" w:hanging="322"/>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“retail sales” refers to Propane and other gas liquid sales: Retail — Sales to End Users or the volume of propane sold primarily to our residential, industrial/commercial and agricultural customers;</w:t>
      </w:r>
    </w:p>
    <w:p>
      <w:pPr>
        <w:spacing w:after="0" w:line="123" w:lineRule="exact"/>
        <w:rPr>
          <w:rFonts w:ascii="Arial" w:cs="Arial" w:eastAsia="Arial" w:hAnsi="Arial"/>
          <w:sz w:val="16"/>
          <w:szCs w:val="16"/>
          <w:color w:val="auto"/>
        </w:rPr>
      </w:pPr>
    </w:p>
    <w:p>
      <w:pPr>
        <w:ind w:left="1020" w:right="139" w:hanging="322"/>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sales” refers to Propane and other gas liquid sales: Wholesale — Sales to Resellers or the volume of propane sold primarily to our portable tank exchange customers and bulk propane sold to wholesale customers;</w:t>
      </w:r>
    </w:p>
    <w:p>
      <w:pPr>
        <w:spacing w:after="0" w:line="183" w:lineRule="exact"/>
        <w:rPr>
          <w:rFonts w:ascii="Arial" w:cs="Arial" w:eastAsia="Arial" w:hAnsi="Arial"/>
          <w:sz w:val="18"/>
          <w:szCs w:val="18"/>
          <w:color w:val="auto"/>
        </w:rPr>
      </w:pPr>
    </w:p>
    <w:p>
      <w:pPr>
        <w:ind w:left="1020" w:right="159" w:hanging="322"/>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gas sales” refers to Propane and other gas liquid sales: Other Gas Sales or the volume of bulk propane sold to other third-party propane distributors or marketers and the volume of refined fuel sold;</w:t>
      </w:r>
    </w:p>
    <w:p>
      <w:pPr>
        <w:spacing w:after="0" w:line="146" w:lineRule="exact"/>
        <w:rPr>
          <w:rFonts w:ascii="Arial" w:cs="Arial" w:eastAsia="Arial" w:hAnsi="Arial"/>
          <w:sz w:val="17"/>
          <w:szCs w:val="17"/>
          <w:color w:val="auto"/>
        </w:rPr>
      </w:pPr>
    </w:p>
    <w:p>
      <w:pPr>
        <w:ind w:left="1020" w:right="879" w:hanging="32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“propane sales volume” refers to the volume of propane sold to our retail sales and wholesale sales customers;</w:t>
      </w:r>
    </w:p>
    <w:p>
      <w:pPr>
        <w:spacing w:after="0" w:line="170" w:lineRule="exact"/>
        <w:rPr>
          <w:rFonts w:ascii="Arial" w:cs="Arial" w:eastAsia="Arial" w:hAnsi="Arial"/>
          <w:sz w:val="18"/>
          <w:szCs w:val="18"/>
          <w:color w:val="auto"/>
        </w:rPr>
      </w:pPr>
    </w:p>
    <w:p>
      <w:pPr>
        <w:ind w:left="1020" w:right="419" w:hanging="322"/>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“Ferrellgas Partners Notes” refers to the $357.0 million aggregate principal amount of 8.625% unsecured senior notes due June 15, 2020 co-issued by Ferrellgas Partners and Ferrellgas Partners Finance Corp.;</w:t>
      </w:r>
    </w:p>
    <w:p>
      <w:pPr>
        <w:spacing w:after="0" w:line="123" w:lineRule="exact"/>
        <w:rPr>
          <w:rFonts w:ascii="Arial" w:cs="Arial" w:eastAsia="Arial" w:hAnsi="Arial"/>
          <w:sz w:val="16"/>
          <w:szCs w:val="16"/>
          <w:color w:val="auto"/>
        </w:rPr>
      </w:pPr>
    </w:p>
    <w:p>
      <w:pPr>
        <w:ind w:left="1020" w:hanging="3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“Jamex” refers to Jamex Marketing, LLC;</w:t>
      </w:r>
    </w:p>
    <w:p>
      <w:pPr>
        <w:spacing w:after="0" w:line="225" w:lineRule="exact"/>
        <w:rPr>
          <w:rFonts w:ascii="Arial" w:cs="Arial" w:eastAsia="Arial" w:hAnsi="Arial"/>
          <w:sz w:val="18"/>
          <w:szCs w:val="18"/>
          <w:color w:val="auto"/>
        </w:rPr>
      </w:pPr>
    </w:p>
    <w:p>
      <w:pPr>
        <w:ind w:left="1020" w:right="419" w:hanging="32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refers to the notes of the consolidated financial statements of Ferrellgas Partners or the operating partnership, as applicable; and</w:t>
      </w:r>
    </w:p>
    <w:p>
      <w:pPr>
        <w:spacing w:after="0" w:line="170"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reference to a year preceded by “fiscal” refers to the fiscal year ended July 31 of that year (for example, “fiscal 2020” refers to the fiscal year ended July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Statements included in this report include forward-looking statements. These forward-looking statements are identified as any statement that does not relate strictly to historical or current facts. These statements often use words such as “anticipate,” “believe,” “intend,” “plan,” “projection,” “forecast,” “strategy,” “position,” “continue,” “estimate,” “expect,” “may,” “will,” or the negative of those terms or other variations of them or comparable terminology. These statements often discuss plans, strategies, events or developments that we expect or anticipate will or may occur in the future and are based upon the beliefs and assumptions of our management and on the information currently available to them. In particular, statements, express or implied, concerning our future operating results or our ability to generate sales, income or cash flow are forward-looking statements.</w:t>
      </w:r>
    </w:p>
    <w:p>
      <w:pPr>
        <w:spacing w:after="0" w:line="178"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Forward-looking statements are not guarantees of performance. You should not put undue reliance on any forward-looking statements. All forward-looking statements are subject to risks, uncertainties and assumptions that could cause our actual results to differ materially from those expressed in or implied by these forward-looking statements. Many of the factors that will affect our future results are beyond our ability to control or predict. Some of the risk factors that may affect our business, financial condition or results of operations include:</w:t>
      </w:r>
    </w:p>
    <w:p>
      <w:pPr>
        <w:spacing w:after="0" w:line="176" w:lineRule="exact"/>
        <w:rPr>
          <w:sz w:val="20"/>
          <w:szCs w:val="20"/>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weather conditions on the demand for propane;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prices of wholesale propane, motor fuel and crude oil;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supply of propane;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industry participants and other energy sources;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efficiency and technology advances;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relationships with our national tank exchange customers;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delays in the collection of accounts or notes receivable;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counterparty, supplier or vendor defaults;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demand for, and production of, hydrocarbon products;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railroad operations on the railroads we use;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trucking and rail regulations;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inherent operating and litigation risks in gathering, transporting, handling and storing propane;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complete acquisitions or to successfully integrate acquired operations;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of complying with, or liabilities imposed under, environmental, health and safety laws;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pending and future legal proceedings;</w:t>
      </w:r>
    </w:p>
    <w:p>
      <w:pPr>
        <w:spacing w:after="0" w:line="225"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interruption, disruption, failure or malfunction of our information technology systems including due to cyber-attack;</w:t>
      </w:r>
    </w:p>
    <w:p>
      <w:pPr>
        <w:spacing w:after="0" w:line="17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tax law that could adversely affect the tax treatment of Ferrellgas Partners for federal income tax purposes;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particularly in areas of the world tied to the energy industry;</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the capital and credit markets;</w:t>
      </w:r>
    </w:p>
    <w:p>
      <w:pPr>
        <w:spacing w:after="0" w:line="225" w:lineRule="exact"/>
        <w:rPr>
          <w:rFonts w:ascii="Arial" w:cs="Arial" w:eastAsia="Arial" w:hAnsi="Arial"/>
          <w:sz w:val="18"/>
          <w:szCs w:val="18"/>
          <w:color w:val="auto"/>
        </w:rPr>
      </w:pPr>
    </w:p>
    <w:p>
      <w:pPr>
        <w:ind w:left="1020" w:right="479" w:hanging="32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available capital to meet our operating requirements up to and including the refinancing and/or restructuring of maturing debt instruments; and</w:t>
      </w:r>
    </w:p>
    <w:p>
      <w:pPr>
        <w:spacing w:after="0" w:line="170"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inclusion in the report of our auditor of an “emphasis of matter” paragraph regarding substantial doubt as to our ability to continue as a going concern.</w:t>
      </w:r>
    </w:p>
    <w:p>
      <w:pPr>
        <w:spacing w:after="0" w:line="170"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When considering any forward-looking statement, you should also keep in mind the risk factors set forth in “Item 1A. Risk Factors.” Any of these risks could impair our business, financial condition or results of operations. Any such impairment may affect our ability to make distributions to our unitholders or pay interest on the principal of any of our debt securities. In addition, the trading price of our securities could decline as a result of any such impairment.</w:t>
      </w:r>
    </w:p>
    <w:p>
      <w:pPr>
        <w:spacing w:after="0" w:line="157"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Except for our ongoing obligations to disclose material information as required by federal securities laws, we undertake no obligation to update any forward-looking statements or risk factors after the date of this Annual Report on Form 10-K.</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Ferrellgas Partners, L.P. is a publicly traded Delaware limited partnership formed in 1994 and is primarily engaged in the retail distribution of propane and related equipment sales.</w:t>
      </w:r>
    </w:p>
    <w:p>
      <w:pPr>
        <w:spacing w:after="0" w:line="170"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Our common units are traded on the OTC Pink Market under the symbol “FPGR” as of July 31, 2020 and were listed on the New York Stock Exchange (the “NYSE”) under the ticker symbol “FGP”, as of July 31, 2019. Our activities are primarily conducted through our operating partnership, Ferrellgas, L.P., a Delaware limited partnership. We are the sole limited partner of Ferrellgas, L.P. with an approximate 99% limited partner interest.</w:t>
      </w:r>
    </w:p>
    <w:p>
      <w:pPr>
        <w:spacing w:after="0" w:line="171"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On April 24, 2020, Ferrellgas Partners, the sole limited partner of the operating partnership, and Ferrellgas, Inc., the then-sole general partner of the operating partnership, amended and restated the partnership agreement of the operating partnership in order to, among other things, provide for the admission of two additional general partners. On April 27, 2020, Ferrellgas GP II, LLC and Ferrellgas GP III, LLC, each a Delaware limited liability company and a wholly-owned subsidiary of Ferrell Companies, were formed and subsequently admitted as additional general partners of the operating partnership. As the general partners of the operating partnership, Ferrellgas, Inc., Ferrellgas GP II, LLC and Ferrellgas GP III, LLC each have an equal vote and all general partner matters of the operating partnership are determined by the vote or consent of a majority of such entities. The general partners perform all management functions required by the operating partnership. The general partner interests held by Ferrellgas GP II, LLC and Ferrellgas GP III, LLC are strictly voting and non-economic.</w:t>
      </w:r>
    </w:p>
    <w:p>
      <w:pPr>
        <w:spacing w:after="0" w:line="185"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Ferrellgas Partners is a holding entity that conducts no operations and has two direct subsidiaries, Ferrellgas Partners Finance Corp. and the operating partnership. Ferrellgas Partners’ only significant assets are its approximate 99% limited partnership interest in the operating partnership and its 100% equity interest in Ferrellgas Partners Finance Corp.</w:t>
      </w:r>
    </w:p>
    <w:p>
      <w:pPr>
        <w:spacing w:after="0" w:line="14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operating partnership was formed on April 22, 1994, and accounts for substantially all of our consolidated assets, sales and operating earnings, except for interest expense related to the senior notes co-issued by Ferrellgas Partners and Ferrellgas Partners Finance Corp.</w:t>
      </w:r>
    </w:p>
    <w:p>
      <w:pPr>
        <w:spacing w:after="0" w:line="184" w:lineRule="exact"/>
        <w:rPr>
          <w:sz w:val="20"/>
          <w:szCs w:val="20"/>
          <w:color w:val="auto"/>
        </w:rPr>
      </w:pPr>
    </w:p>
    <w:p>
      <w:pPr>
        <w:ind w:left="60" w:right="519" w:firstLine="648"/>
        <w:spacing w:after="0" w:line="342" w:lineRule="auto"/>
        <w:rPr>
          <w:sz w:val="20"/>
          <w:szCs w:val="20"/>
          <w:color w:val="auto"/>
        </w:rPr>
      </w:pPr>
      <w:r>
        <w:rPr>
          <w:rFonts w:ascii="Arial" w:cs="Arial" w:eastAsia="Arial" w:hAnsi="Arial"/>
          <w:sz w:val="16"/>
          <w:szCs w:val="16"/>
          <w:color w:val="auto"/>
        </w:rPr>
        <w:t>Our general partner performs all management functions for us and holds an approximate 1% general partner interest in Ferrellgas Partners and an approximate 1% general partner interest in the operating partnership. The parent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company of our general partner, Ferrell Companies, currently beneficially owns approximately 23.4% of our outstanding common units. Ferrell Companies is owned 100% by an employee stock ownership trust.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We are a leading distributor of propane and related equipment and supplies to customers in the United States. We believe that we are the second largest retail marketer of propane in the United States as measured by the volume of our retail sales in fiscal 2020 and a leading national provider of propane by portable tank exchange.</w:t>
      </w:r>
    </w:p>
    <w:p>
      <w:pPr>
        <w:spacing w:after="0" w:line="16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We serve residential, industrial/commercial, portable tank exchange, agricultural, wholesale and other customers in all 50 states, the District of Columbia and Puerto Rico. Our operations primarily include the distribution and sale of propane and related equipment and supplies with concentrations in the Midwest, Southeast, Southwest and Northwest regions of the United States. Sales from propane distribution are generated principally from transporting propane purchased from third parties to propane distribution locations and then to tanks on customers’ premises or to portable propane tanks delivered to nationwide and local retailers. Sales from portable tank exchanges, nationally branded under the name Blue Rhino, are generated primarily through a network of partnership-owned distribution outlets and to a lesser extent through independently-owned distribution outlets. Our market areas for our residential and agricultural customers are generally rural while our market areas for our industrial/commercial and portable tank exchange customers are generally urban.</w:t>
      </w:r>
    </w:p>
    <w:p>
      <w:pPr>
        <w:spacing w:after="0" w:line="166"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In the residential and industrial/commercial markets, propane is primarily used for space heating, water heating, cooking and other propane fueled appliances. In the portable tank exchange market, propane is used primarily for outdoor cooking using gas grills. In the agricultural market, propane is primarily used for crop drying, space heating, irrigation and weed control. In addition, propane is used for a variety of industrial applications, including as an engine fuel burned in the internal combustion engines of vehicles and forklifts and as a heating or energy source in manufacturing and drying processes.</w:t>
      </w:r>
    </w:p>
    <w:p>
      <w:pPr>
        <w:spacing w:after="0" w:line="192"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A substantial majority of our gross margin from propane and other gas liquids sales is derived from the distribution and sale of propane and related risk management activities. Our gross margin from the retail distribution of propane is primarily based on the cents-per-gallon difference between the sales price we charge our customers and our costs to purchase and deliver propane to our propane distribution locations.</w:t>
      </w:r>
    </w:p>
    <w:p>
      <w:pPr>
        <w:spacing w:after="0" w:line="187"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distribution of propane to residential customers generally involves large numbers of small volume deliveries. Our retail deliveries of propane are typically transported from our retail propane distribution locations to our customers by our fleet of bulk delivery trucks, which are generally fitted with tanks ranging in size from 2,600 to 3,500 gallons. Propane storage tanks located on our customers’ premises are then filled from these bulk delivery trucks. We also deliver propane to our industrial/commercial and portable tank exchange customers using our fleet of portable tank and portable tank exchange delivery trucks, truck tractors and portable tank exchange delivery trailers.</w:t>
      </w:r>
    </w:p>
    <w:p>
      <w:pPr>
        <w:spacing w:after="0" w:line="178"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track “Propane sales volumes,” “Revenues – Propane and other gas liquids sales” and “Gross Margin – Propane and other gas liquids sales” by customer; however, we are not able to specifically allocate operating and other costs by customer in a manner that would determine their specific profitability with a high degree of accuracy. The wholesale propane price per gallon is subject to various market conditions, including inflation, and may fluctuate based on changes in demand, supply and other energy commodity prices, primarily crude oil and natural gas, as propane prices tend to correlate with the fluctuations of these underlying commodities.</w:t>
      </w:r>
    </w:p>
    <w:p>
      <w:pPr>
        <w:spacing w:after="0" w:line="178"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As of July 31, 2020, approximately 68% of our residential customers utilize our equipment, while the remainder own their tanks. Our rental terms and the fire safety regulations in some states require rented bulk tanks to be filled only by the propane supplier owning the tank. The cost and inconvenience of switching bulk tanks helps minimize a customer’s tendency to switch suppliers of propane on the basis of minor variations in price, helping us minimize customer loss.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firstLine="648"/>
        <w:spacing w:after="0" w:line="286" w:lineRule="auto"/>
        <w:rPr>
          <w:sz w:val="20"/>
          <w:szCs w:val="20"/>
          <w:color w:val="auto"/>
        </w:rPr>
      </w:pPr>
      <w:r>
        <w:rPr>
          <w:rFonts w:ascii="Arial" w:cs="Arial" w:eastAsia="Arial" w:hAnsi="Arial"/>
          <w:sz w:val="17"/>
          <w:szCs w:val="17"/>
          <w:color w:val="auto"/>
        </w:rPr>
        <w:t>In addition, we lease tanks to some of our independent distributors involved with our delivery of propane for portable tank exchanges. Our owned and independent distributors provide portable tank exchange customers with a national delivery presence that is generally not available from most of our competitors.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our past three fiscal years, our total annual propane sales volumes in gallons were: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Propane</w:t>
            </w: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sales volumes</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31, 2020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July 31, 2019</w:t>
            </w:r>
          </w:p>
        </w:tc>
        <w:tc>
          <w:tcPr>
            <w:tcW w:w="90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fiscal 2020, no one customer accounted for 10% or more of our consolidated revenues.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utilize marketing programs targeting both new and existing customers by emphasizing:</w:t>
      </w:r>
    </w:p>
    <w:p>
      <w:pPr>
        <w:spacing w:after="0" w:line="225" w:lineRule="exact"/>
        <w:rPr>
          <w:sz w:val="20"/>
          <w:szCs w:val="20"/>
          <w:color w:val="auto"/>
        </w:rPr>
      </w:pPr>
    </w:p>
    <w:p>
      <w:pPr>
        <w:ind w:left="1020" w:hanging="32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efficiency in delivering propane to customers;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 training and safety programs;</w:t>
      </w:r>
    </w:p>
    <w:p>
      <w:pPr>
        <w:spacing w:after="0" w:line="225"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enhanced customer service, facilitated by our technology platform and our 24 hours a day, seven days a week emergency retail customer call support capabilities;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national distributor network for our commercial and portable tank exchange customers.</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Some of our propane distribution locations also conduct the retail sale of propane appliances and related parts and fittings, as well as other retail propane related services and consumer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other activities in our propane operations and related equipment sales segment include the following:</w:t>
      </w:r>
    </w:p>
    <w:p>
      <w:pPr>
        <w:spacing w:after="0" w:line="225" w:lineRule="exact"/>
        <w:rPr>
          <w:sz w:val="20"/>
          <w:szCs w:val="20"/>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of refined fuels,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carrier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 of Weather and Seasonality</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Weather conditions have a significant impact on demand for propane for heating purposes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in the winter heating season will tend to result in reduced propane usage, while sustained colder-than-normal temperatures in the winter heating season will tend to result in greater usage. Although there is a strong correlation between weather and customer usage, general economic conditions in the United States and the wholesale price of propane can also significantly impact this correlation. Additionally, there is a natural time lag between the onset of cold weather and increased sales to customers. If the United States were to experience a cooling trend, we could expect nationwide demand for propane for heating purposes to increase which could lead to greater sales, income and cash flow. Conversely, if the United States were to experience a continued warming trend, we could expect nationwide demand for propane for heating purposes to decrease which could lead to a reduction in our sales, income and cash flow as well as impact our ability to maintain compliance with our debt covenants.</w:t>
      </w:r>
    </w:p>
    <w:p>
      <w:pPr>
        <w:spacing w:after="0" w:line="168"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The market for propane is seasonal because of increased demand during the winter heating season primarily for the purpose of providing heating in residential and commercial buildings. Consequently, sales and operating profits are concentrated in our second and third fiscal quarters, which are during the winter heating season. However, our propane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by portable tank exchange business experiences higher volumes in the spring and summer, which include the majority of the grilling season. These volumes add to our operating profits during our first and fourth fiscal quarters due to those counter-seasonal business activities. These sales also provide us the ability to better utilize our seasonal resources at our propane distribution locations. Other factors affecting our results of operations include competitive conditions, volatility in energy commodity prices, demand for propane, timing of acquisitions and general economic conditions in the United States.</w:t>
      </w:r>
    </w:p>
    <w:p>
      <w:pPr>
        <w:spacing w:after="0" w:line="19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We use information on temperatures to understand how our results of operations are affected by temperatures that are warmer or colder than normal. We define “normal” temperatures based on a 10-year average of information published by the National Oceanic and Atmospheric Administration. Based on this information we calculate a ratio of actual heating degree days to normal heating degree days. Heating degree days are a general indicator of weather impacting propane usage.</w:t>
      </w:r>
    </w:p>
    <w:p>
      <w:pPr>
        <w:spacing w:after="0" w:line="188"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We believe that our broad geographic distribution helps us reduce exposure to regional weather and economic patterns. During times of colder-than-normal winter weather, we have been able to take advantage of our large, efficient distribution network to avoid supply disruptions, thereby providing us a competitive advantage in the markets we serve.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Management Activities – Commodity Price Risk</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employ risk management activities that attempt to mitigate price risks related to the purchase, storage, transport and sale of propane generally in the contract and spot markets from major domestic energy companies on a short-term basis.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17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Our propane related financial derivatives are designated as cash flow hedges.</w:t>
      </w:r>
    </w:p>
    <w:p>
      <w:pPr>
        <w:spacing w:after="0" w:line="188"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Our risk management activities may include the use of financial derivative instruments including, but not limited to, futures, swaps, and options to seek protection from adverse price movements and to minimize potential losses. We enter into these financial derivative instruments primarily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sales exception within accounting principles generally accepted in the United States (“GAAP”) and are therefore not recorded on our financial statements until settled.</w:t>
      </w:r>
    </w:p>
    <w:p>
      <w:pPr>
        <w:spacing w:after="0" w:line="177"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Through our supply procurement activities, we purchase propane primarily from energy companies. Supplies of propane from these sources have traditionally been readily available, although no assurance can be given that they will be readily available in the future. We may purchase and store inventories of propane to avoid delivery interruptions during the periods of increased demand and to take advantage of favorable commodity prices. As a result of our ability to buy large volumes of propane and utilize our national distribution system, we believe we are in a position to achieve product cost savings and avoid shortages during periods of tight supply to an extent not generally available to other propane distributors. During fiscal 2020, seven suppliers accounted for approximately 53% of our total propane purchases. Because there are numerous alternative suppliers available, we do not believe it is reasonably possible that this supplier concentration could cause a near-term severe impact on our ability to procure propane, though propane prices could be affected; however, if supplies were interrupted or difficulties in obtaining alternative transportation were to arise, the cost of procuring replacement supplies may materially increase. These transactions are accounted for at cost in “Cost of product sold – propane and other gas liquids sales” in our consolidated statement of operations.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648"/>
        <w:spacing w:after="0" w:line="296" w:lineRule="auto"/>
        <w:rPr>
          <w:sz w:val="20"/>
          <w:szCs w:val="20"/>
          <w:color w:val="auto"/>
        </w:rPr>
      </w:pPr>
      <w:r>
        <w:rPr>
          <w:rFonts w:ascii="Arial" w:cs="Arial" w:eastAsia="Arial" w:hAnsi="Arial"/>
          <w:sz w:val="16"/>
          <w:szCs w:val="16"/>
          <w:color w:val="auto"/>
        </w:rPr>
        <w:t>A portion of our propane inventory is purchased under supply contracts that typically have a one-year term and a price that fluctuates based on spot market prices. In order to limit overall price risk, we will enter into fixed price over-the-counter propane forward and/or swap contracts that generally have terms of less than 36 months. We may also use options to hedge a portion of our forecasted purchases, which generally do not exceed 36 months in the future. Executing our price risk management strategy includes regularly issuing letters of credit and posting cash collateral.</w:t>
      </w:r>
    </w:p>
    <w:p>
      <w:pPr>
        <w:spacing w:after="0" w:line="16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also incur risks related to the price and availability of propane during periods of much colder-than-normal weather, temporary supply shortages concentrated in certain geographic regions and commodity price distortions between geographic regions. We attempt to mitigate these risks through our transportation activities by utilizing our transport truck and railroad tank car fleet to distribute propane between supply or storage locations and propane distribution locations. The propane we sell to our customers is generally transported from gas processing plants and refineries, pipeline terminals and storage facilities to propane distribution locations or storage facilities by our leased railroad tank cars, our owned or leased highway transport trucks, common carrier, or owner-operated transport trucks.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Management Activities – Transportation Fuel Price Risk</w:t>
      </w:r>
    </w:p>
    <w:p>
      <w:pPr>
        <w:spacing w:after="0" w:line="225" w:lineRule="exact"/>
        <w:rPr>
          <w:sz w:val="20"/>
          <w:szCs w:val="20"/>
          <w:color w:val="auto"/>
        </w:rPr>
      </w:pPr>
    </w:p>
    <w:p>
      <w:pPr>
        <w:ind w:left="60" w:right="419" w:firstLine="648"/>
        <w:spacing w:after="0" w:line="259" w:lineRule="auto"/>
        <w:rPr>
          <w:sz w:val="20"/>
          <w:szCs w:val="20"/>
          <w:color w:val="auto"/>
        </w:rPr>
      </w:pPr>
      <w:r>
        <w:rPr>
          <w:rFonts w:ascii="Arial" w:cs="Arial" w:eastAsia="Arial" w:hAnsi="Arial"/>
          <w:sz w:val="18"/>
          <w:szCs w:val="18"/>
          <w:color w:val="auto"/>
        </w:rPr>
        <w:t>From time to time, we employ risk management activities that attempt to mitigate price risks related to the purchase of gasoline and diesel fuel for use in the transport of propane from supply or storage locations and from retail fueling stations. When employed, we attempt to mitigate these price risks through the use of financial derivative instruments.</w:t>
      </w:r>
    </w:p>
    <w:p>
      <w:pPr>
        <w:spacing w:after="0" w:line="187"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When employed, our risk management strategy involves taking positions in the financial markets that are not more than the forecasted purchases of fuel for our internal use in both the supply and retail propane delivery fleet in order to minimize the risk of decreased earnings from an adverse price change. This risk management strategy locks in our purchase price and is successful when our gains or losses in the physical product markets are offset by our losses or gains in the financial markets. Our transport fuel financial derivatives are not designated as cash flow hedges.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Natural gas liquids are derived from petroleum products and are sold in compressed or liquefied form. Propane, the predominant natural gas liquid, is typically extracted from natural gas or separated during crude oil refining. Although propane is gaseous at normal pressures, it is compressed into liquid form at relatively low pressures for storage and transportation. Propane is a clean-burning energy source, recognized for its transportability and ease of use relative to alternative forms of stand-alone energy sources.</w:t>
      </w:r>
    </w:p>
    <w:p>
      <w:pPr>
        <w:spacing w:after="0" w:line="188"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Based upon industry publications propane accounts for approximately 4% of energy consumption in the United States, a level which has remained relatively constant for the past two decades. Propane competes primarily with natural gas, electricity and fuel oil as an energy source principally on the basis of price, availability and portability. Propane serves as an alternative to natural gas in rural and urban areas where natural gas is unavailable or portability of product is required. Propane is generally more expensive than natural gas on an equivalent British Thermal Unit (“BTU”) basis in locations served by natural gas, although propane is often sold in such areas as a standby fuel for use during peak demands and during interruption in natural gas service. The expansion of natural gas into traditional propane markets has historically been inhibited by the capital costs required to expand distribution and pipeline systems. Although the extension of natural gas pipelines tends to displace propane distribution in the neighborhoods affected, we believe that new opportunities for propane sales arise as more geographically remote neighborhoods are developed.</w:t>
      </w:r>
    </w:p>
    <w:p>
      <w:pPr>
        <w:spacing w:after="0" w:line="16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Propane has historically been less expensive to use than electricity for space heating, water heating and cooking and competes effectively with electricity in the parts of the country where propane is less expensive than electricity on an equivalent BTU basis. Although propane is similar to fuel oil in application, market demand and price, propane and fuel oil have generally developed their own distinct geographic markets. Because residential furnaces and appliances that burn propane will not operate on fuel oil, a conversion from one fuel to the other requires the installation of new equipment. Residential propane customers will have an incentive to switch to fuel oil only if fuel oil becomes significantly less expensive than propane. Conversely, we may be unable to expand our retail customer base in areas where fuel oil is widely used, particularly the northeast United States, unless propane becomes significantly less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expensive than fuel oil. However, many industrial customers who use propane as a heating fuel have the capacity to switch to other fuels, such as fuel oil, on the basis of availability or minor variations in price. Sustained low propane prices have begun to change that dynamic, causing fuel oil customers to convert to propane.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 addition to competing with marketers of other fuels, we compete with other companies engaged in the propane distribution business. Competition within the propane distribution industry stems from two types of participants: the larger, multi-state marketers, including farmers’ cooperatives, and the smaller, local independent marketers, including rural electric cooperatives. Based on our propane sales volumes in fiscal 2020, we believe that we are the second largest retail marketer of propane in the United States and a leading national provider of propane by portable tank exchange.</w:t>
      </w:r>
    </w:p>
    <w:p>
      <w:pPr>
        <w:spacing w:after="0" w:line="16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Most of our retail propane distribution locations compete with three or more marketers or distributors, primarily on the basis of reliability of service and responsiveness to customer needs, safety and price. Each retail distribution outlet operates in its own competitive environment because propane marketers typically reside in close proximity to their customers to lower the cost of providing service.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Strategy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business strategy includes the following:</w:t>
      </w:r>
    </w:p>
    <w:p>
      <w:pPr>
        <w:spacing w:after="0" w:line="225" w:lineRule="exact"/>
        <w:rPr>
          <w:sz w:val="20"/>
          <w:szCs w:val="20"/>
          <w:color w:val="auto"/>
        </w:rPr>
      </w:pPr>
    </w:p>
    <w:p>
      <w:pPr>
        <w:ind w:left="1020" w:right="479" w:hanging="322"/>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market share through organic growth and disciplined acquisitions, as accretive opportunities become available;</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our national presence and economies of scale;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maximize operating efficiencies through utilization of our technology platform.</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i w:val="1"/>
          <w:iCs w:val="1"/>
          <w:color w:val="auto"/>
        </w:rPr>
        <w:t>Expand our market share through disciplined acquisitions and organic growth, as accretive opportunities become available</w:t>
      </w:r>
    </w:p>
    <w:p>
      <w:pPr>
        <w:spacing w:after="0" w:line="170" w:lineRule="exact"/>
        <w:rPr>
          <w:sz w:val="20"/>
          <w:szCs w:val="20"/>
          <w:color w:val="auto"/>
        </w:rPr>
      </w:pPr>
    </w:p>
    <w:p>
      <w:pPr>
        <w:jc w:val="both"/>
        <w:ind w:left="60" w:right="199" w:firstLine="648"/>
        <w:spacing w:after="0" w:line="287" w:lineRule="auto"/>
        <w:rPr>
          <w:sz w:val="20"/>
          <w:szCs w:val="20"/>
          <w:color w:val="auto"/>
        </w:rPr>
      </w:pPr>
      <w:r>
        <w:rPr>
          <w:rFonts w:ascii="Arial" w:cs="Arial" w:eastAsia="Arial" w:hAnsi="Arial"/>
          <w:sz w:val="16"/>
          <w:szCs w:val="16"/>
          <w:color w:val="auto"/>
        </w:rPr>
        <w:t>We expect to continue the expansion of our propane customer base through both the acquisition of other propane distributors and through organic growth. We intend to concentrate on propane acquisition activities in geographical areas within or adjacent to our existing operating areas, and on a selected basis in areas that broaden our geographic coverage.</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We also intend to focus on acquisitions that can be efficiently combined with our existing propane operations to provide an attractive return on investment after taking into account the economies of scale and cost savings we anticipate will result from those combinations.</w:t>
      </w:r>
    </w:p>
    <w:p>
      <w:pPr>
        <w:spacing w:after="0" w:line="19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goal is to improve the operations and profitability of our propane operations and related equipment sales segment by integrating best practices and leveraging our established national organization and technology platforms to help reduce costs and enhance customer service. We believe that our enhanced operational synergies, improved customer service and ability to better track the financial performance of operations provide us a distinct competitive advantage and better analysis as we consider future opportunities.</w:t>
      </w:r>
    </w:p>
    <w:p>
      <w:pPr>
        <w:spacing w:after="0" w:line="188"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We believe that we are positioned to successfully compete for growth opportunities within and outside of our existing operating regions. Our efforts will focus on adding density to our existing customer base, providing propane and complementary services to national accounts and providing other product offerings to existing customer relationships. This continued expansion will give us new growth opportunities by leveraging the capabilities of our operating platforms.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Capitalize on our national presence and economies of scale</w:t>
      </w:r>
    </w:p>
    <w:p>
      <w:pPr>
        <w:spacing w:after="0" w:line="225"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We believe our national presence of 906 propane distribution locations in the United States as of July 31, 2020 gives us advantages over our smaller competitors. These advantages include economies of scale in areas such as:</w:t>
      </w:r>
    </w:p>
    <w:p>
      <w:pPr>
        <w:spacing w:after="0" w:line="124" w:lineRule="exact"/>
        <w:rPr>
          <w:sz w:val="20"/>
          <w:szCs w:val="20"/>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procurement;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fleet purchases;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propane customer administration;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administration.</w:t>
      </w:r>
    </w:p>
    <w:p>
      <w:pPr>
        <w:spacing w:after="0" w:line="225"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We believe that our national presence allows us to be one of the few propane distributors that can competitively serve industrial/commercial and portable tank exchange customers on a nationwide basis, including the ability to serve such propane customers through leading home-improvement centers, mass merchants and hardware, grocery and convenience stores. In addition, we believe that our national presence provides us opportunities to make acquisitions of other propane distribution companies whose operations overlap with ours, providing economies of scale and significant cost savings in these markets.</w:t>
      </w:r>
    </w:p>
    <w:p>
      <w:pPr>
        <w:spacing w:after="0" w:line="192"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We also believe that investments in technology similar to ours require both a large scale and a national presence, in order to generate sustainable operational savings to produce a sufficient return on investment. For these reasons, we believe our national presence and economies of scale provide us with an on-going competitive advantage.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Maximize operating efficiencies through utilization of our technology platform</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We believe our significant investments in technology give us a competitive advantage to operate more efficiently and effectively at a lower cost compared to most of our competitors. We do not believe that many of our smaller competitors will be able to justify similar investments in the near term. Our technology advantage has resulted from significant investments made in our retail propane distribution operating platform together with our state-of-the-art tank exchange operating platform.</w:t>
      </w:r>
    </w:p>
    <w:p>
      <w:pPr>
        <w:spacing w:after="0" w:line="188"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technology platform allows us to efficiently route and schedule our customer deliveries, customer administration and operational workflow for the retail sale and delivery of bulk propane. Our service centers are staffed to provide oversight and management to multiple distribution locations, referred to as service units. We operate a retail distribution network, including portable tank exchange operations, using a structure of 79 service centers and 906 service units as of July 31, 2020. The service unit locations utilize hand-held computers and cellular or satellite technology to communicate with management personnel who are typically located at the associated service center. We believe this structure and our technology platform allow us to more efficiently route and schedule customer deliveries and significantly reduce the need for daily on-site management.</w:t>
      </w:r>
    </w:p>
    <w:p>
      <w:pPr>
        <w:spacing w:after="0" w:line="178"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efficiencies gained from operating our technology platform allow us to consolidate our management teams at fewer locations, quickly adjust the sales prices to our customers and manage our personnel and vehicle costs more effectively to meet customer demand.</w:t>
      </w:r>
    </w:p>
    <w:p>
      <w:pPr>
        <w:spacing w:after="0" w:line="184"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Our customer support capabilities allow us to accept emergency customer calls 24 hours a day, seven days a week. These combined capabilities provide us cost savings while improving customer service by reducing customer inconvenience associated with multiple, unnecessary deliveries.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Governmental Regulation - Environmental and Safety Matters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Our operations are subject to various federal, state and local environmental, health, safety and transportation laws and regulations governing the storage, distribution and transportation of propane. However, propane is not currently subject to any price or allocation regulation and has not been defined by any federal environmental law as an environmentally hazardous substance.</w:t>
      </w:r>
    </w:p>
    <w:p>
      <w:pPr>
        <w:spacing w:after="0" w:line="187"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In connection with all acquisitions of propane distribution businesses that involve the purchase of real property, we conduct a due diligence investigation to attempt to determine whether any substance other than propane has been sold from, stored on or otherwise come into contact with any such real property prior to its purchase. At a minimum, due diligence includes questioning the sellers, obtaining representations and warranties concerning the sellers’ compliance with environmental laws and visual inspections of the real property. Nevertheless, if hazardous substances are discovered on or under these properties, we may be responsible for removing or remediating the previously disposed substances. The Comprehensive Environmental Response, Compensation and Liability Act, as amended, which we refer to as CERCLA or the “Superfund” law, and analogous state laws, generally impose liability, without regard to fault or legality of the original conduct, on classes of persons that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 to natural resources and for the costs of certain health studies. In addition, it is not uncommon for neighboring landowners and other third parties to file claims for personal injury and property damage allegedly caused by the hazardous substances released into the environment. Therefore, governmental agencies or third parties may seek to hold us responsible under CERCLA and comparable state statutes for all or part of the costs to clean up sites at which such hazardous substances may have been released.</w:t>
      </w:r>
    </w:p>
    <w:p>
      <w:pPr>
        <w:spacing w:after="0" w:line="16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With respect to the sale and distribution of propane, we are subject to regulations promulgated by the Occupational Safety and Health Administration (“OSHA”) under its Hazard Communication Standard (“HCS”), which requires preparation and maintenance of material safety data sheets, hazard labeling on products, and other worker protections. In 2012, OSHA promulgated new hazard communications requirements designed to align U.S. HCS standards with those of other countries under a Globally Harmonized System. These hazard labeling and communication changes, which took effect in June 2015, required us and other propane manufacturers and distributors to revise and update our consumer and compliance materials.</w:t>
      </w:r>
    </w:p>
    <w:p>
      <w:pPr>
        <w:spacing w:after="0" w:line="19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With respect to the transportation of propane by truck, we are subject to regulations promulgated under the Federal Motor Carrier Safety Act. These regulations cover the transportation of flammable materials and are administered by the United States Department of Transportation (“DOT”). The National Fire Protection Association Pamphlet No. 58 establishes a national standard for the safe handling and storage of propane. Those rules and procedures have been adopted by us and serve as the industry standard by the states in which we operate.</w:t>
      </w:r>
    </w:p>
    <w:p>
      <w:pPr>
        <w:spacing w:after="0" w:line="17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We believe that we are in material compliance with all governmental regulations and industry standards applicable to environmental and safety matters.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Governmental Regulation - Climate Change Legislation</w:t>
      </w:r>
    </w:p>
    <w:p>
      <w:pPr>
        <w:spacing w:after="0" w:line="22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There continues to be concern, both nationally and internationally, about climate change and the contribution of greenhouse gas (“GHG”) emissions, most notably carbon dioxide, to global warming. Because propane is considered a clean alternative fuel under the federal Clean Air Act Amendments of 1990, we anticipate that this will provide us with a competitive advantage over other sources of energy, such as fuel oil and coal, to the extent new climate change regulations become effective. At the same time, increased regulation of GHG emissions, especially in the transportation sector, could impose significant additional costs on us, our suppliers and our customers. In recent years, there has been an increase in state initiatives aimed at regulating GHG emissions. For example, the California Environmental Protection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7" w:lineRule="auto"/>
        <w:rPr>
          <w:sz w:val="20"/>
          <w:szCs w:val="20"/>
          <w:color w:val="auto"/>
        </w:rPr>
      </w:pPr>
      <w:r>
        <w:rPr>
          <w:rFonts w:ascii="Arial" w:cs="Arial" w:eastAsia="Arial" w:hAnsi="Arial"/>
          <w:sz w:val="16"/>
          <w:szCs w:val="16"/>
          <w:color w:val="auto"/>
        </w:rPr>
        <w:t>Agency established a Cap &amp; Trade program that requires certain covered entities, including propane distribution companies, to purchase allowances to compensate for the GHG emissions created by their business operations or obtain qualifying offset credits. The impact of new legislation and regulations will depend on a number of factors, including</w:t>
      </w:r>
    </w:p>
    <w:p>
      <w:pPr>
        <w:spacing w:after="0" w:line="2" w:lineRule="exact"/>
        <w:rPr>
          <w:sz w:val="20"/>
          <w:szCs w:val="20"/>
          <w:color w:val="auto"/>
        </w:rPr>
      </w:pPr>
    </w:p>
    <w:p>
      <w:pPr>
        <w:ind w:left="60" w:right="259" w:hanging="10"/>
        <w:spacing w:after="0" w:line="255" w:lineRule="auto"/>
        <w:tabs>
          <w:tab w:leader="none" w:pos="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industry sectors would be impacted, (ii) the timing of required compliance, (iii) the overall GHG emissions cap level, (iv) the allocation of emission allowances to specific sources, and (v) the costs and opportunities associated with compliance.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We have no employees and are managed by our general partner pursuant to our partnership agreement. At August 31, 2020, our general partner had 3,945 full-time employees.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Our general partner’s employees consisted of individuals in the following areas: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6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Propane field 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Centralized corporate functions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Less than one percent of these employees are represented by an aggregate of four different local labor unions, which are all affiliated with the International Brotherhood of Teamsters. Our general partner has not experienced any significant work stoppages or other labor problems.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market our goods and services under various trademarks and trade names, which we own or have a right to use. Those trademarks and trade names include marks or pending marks before the United States Patent and Trademark Office such as Ferrellgas, Ferrell North America, and Ferrellmeter. Our general partner has an option to purchase for a nominal value the trade names “Ferrellgas” and “Ferrell North America” and the trademark “Ferrellmeter” that it contributed to us during 1994, if it is removed as our general partner other than “for cause.” If our general partner ceases to serve as our general partner for any reason other than “for cause,” it will have the option to purchase our other trade names and trademarks from us for fair market value.</w:t>
      </w:r>
    </w:p>
    <w:p>
      <w:pPr>
        <w:spacing w:after="0" w:line="19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believe that the Blue Rhino mark and Blue Rhino’s other trademarks and service marks are an important part of our consistent growth in the tank exchange category. Included in the registered and pending trademarks and service marks are the designations Blue Rhino®, Blue Rhino &amp; Design®, Rhino Design®, Drop, Swap and Go®, Take-A-Tank®, and It’s Not Just Propane. It’s Blue Rhino®.</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Businesses of Other Subsidiaries</w:t>
      </w:r>
    </w:p>
    <w:p>
      <w:pPr>
        <w:spacing w:after="0" w:line="229"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Ferrellgas Partners Finance Corp. is a Delaware corporation formed in 1996 and is our wholly-owned subsidiary. Ferrellgas Partners Finance Corp. has nominal assets, no employees other than officers and does not conduct any operations, but serves as a co-issuer and co-obligor for debt securities of Ferrellgas Partners. Institutional investors that might otherwise be limited in their ability to invest in debt securities of Ferrellgas Partners because it is a partnership are potentially able to invest in debt securities of Ferrellgas Partners because Ferrellgas Partners Finance Corp. acts as a co-issuer and co-obligor. Because of its structure and pursuant to the reduced disclosure format, a discussion of the results of operations, liquidity and capital resources of Ferrellgas Partners Finance Corp. is not presented in this Annual Report on Form 10-K. See Note B – Contingencies and Commitments – to Ferrellgas Partners Finance Corp.’s financial statements for a discussion of the debt securities with respect to which Ferrellgas Partners Finance Corp. is serving as a co-issuer and co-obligor.</w:t>
      </w:r>
    </w:p>
    <w:p>
      <w:pPr>
        <w:spacing w:after="0" w:line="18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Ferrellgas Finance Corp. is a Delaware corporation formed in 2003 and is a wholly-owned subsidiary of the operating partnership. Ferrellgas Finance Corp. has nominal assets, no employees other than officers and does not conduct any operations, but serves as a co-issuer and co-obligor for debt securities of the operating partnership. Institutional investors that might otherwise be limited in their ability to invest in debt securities of the operating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partnership because it is a partnership are potentially able to invest in debt securities of the operating partnership because Ferrellgas Finance Corp. acts as a co-issuer and co-obligor. Because of its structure and pursuant to the reduced disclosure format, a discussion of the results of operations, liquidity and capital resources of Ferrellgas Finance Corp. is not presented in this Annual Report on Form 10-K. See Note B – Contingencies and commitments – to Ferrellgas Finance Corp.’s financial statements for a discussion of the debt securities with respect to which Ferrellgas Finance Corp. is serving as a co-issuer and co-obligor.</w:t>
      </w:r>
    </w:p>
    <w:p>
      <w:pPr>
        <w:spacing w:after="0" w:line="19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have agreements to transfer, on an ongoing basis, a portion of our trade accounts receivable through Ferrellgas Receivables, LLC (“Ferrellgas Receivables”), a consolidated and wholly-owned, qualifying special purpose subsidiary of the operating partnership that maintains an accounts receivable securitization facility. We retain servicing responsibilities for transferred accounts receivable but have no other continuing involvement with the transferred receivables. The accounts receivable securitization facility is more fully described in Item 7. “Management’s Discussion and Analysis of Financial Condition and Results of Operations – Liquidity and Capital Resources – Financing Activities - Accounts receivable securitization facility” and in Note G – Accounts and notes receivable, net and accounts receivable securitization – to our consolidated financial statements provided herein.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We file annual, quarterly and current reports and other information with the Securities and Exchange Commission (the “SEC”). You may read and download our SEC filings over the Internet from several commercial document retrieval services as well as at the SEC’s website at www.sec.gov. Our SEC filings are also available on our website at www.ferrellgas.com at no cost as soon as reasonably practicable after our electronic filing or furnishing thereof with the SEC. Please note that any Internet addresses provided in this Annual Report on Form 10-K are for informational purposes only and are not intended to be hyperlinks. No information found and/or provided at such Internet addresses is intended or deemed to be incorporated by reference herein.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i w:val="1"/>
          <w:iCs w:val="1"/>
          <w:color w:val="auto"/>
        </w:rPr>
        <w:t>There is substantial doubt about our ability to continue as a going concern, which will affect our ability to obtain future financing and may require us to curtail our operations.</w:t>
      </w:r>
    </w:p>
    <w:p>
      <w:pPr>
        <w:spacing w:after="0" w:line="170" w:lineRule="exact"/>
        <w:rPr>
          <w:sz w:val="20"/>
          <w:szCs w:val="20"/>
          <w:color w:val="auto"/>
        </w:rPr>
      </w:pPr>
    </w:p>
    <w:p>
      <w:pPr>
        <w:ind w:left="60" w:right="239" w:firstLine="648"/>
        <w:spacing w:after="0" w:line="271" w:lineRule="auto"/>
        <w:rPr>
          <w:sz w:val="20"/>
          <w:szCs w:val="20"/>
          <w:color w:val="auto"/>
        </w:rPr>
      </w:pPr>
      <w:r>
        <w:rPr>
          <w:rFonts w:ascii="Arial" w:cs="Arial" w:eastAsia="Arial" w:hAnsi="Arial"/>
          <w:sz w:val="17"/>
          <w:szCs w:val="17"/>
          <w:color w:val="auto"/>
        </w:rPr>
        <w:t>Our consolidated financial statements were prepared under the assumption that we will continue as a going concern. Ferrellgas Partners has $357.0 million outstanding principal amount of its 8.625% unsecured senior notes due 2020, which matured on June 15, 2020 but have not been repaid and are classified as current in the consolidated balance sheets of Ferrellgas Partners as of July 31, 2020. Additionally, the operating partnership has $500.0 million in unsecured notes due May 1, 2021, that are also classified as current in the consolidated financial statements as of July 31, 2020. The ability of Ferrellgas Partners to restructure, refinance or otherwise satisfy these notes is uncertain considering the level of other outstanding indebtedness. Given these concerns, Ferrellgas Partners believes there is substantial doubt about its ability to continue as a going concern.</w:t>
      </w:r>
    </w:p>
    <w:p>
      <w:pPr>
        <w:spacing w:after="0" w:line="178"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The independent registered public accounting firm for Ferrellgas Partners and the operating partnership expressed substantial doubt as to the ability of each of them to continue as a going concern in their reports dated October 15, 2020 included herein. We believe there continues to be substantial doubt regarding the ability of Ferrellgas Partners and the operating partnership to continue as going concerns. In addition to the maturity of Ferrellgas Partners Notes that were due on June 15, 2020 but remain outstanding, we have outstanding senior unsecured notes in the aggregate principal amount of $1,475.0 million, of which $500.0 million matures in 2021, $475.0 million matures in 2022 and $500.0 million matures in 2023, and we have outstanding senior secured notes in the aggregate principal amount of $700.0 million which mature in 2025. If we are unable to continue as a going concern, we may have to liquidate our assets and may receive less than the value at which those assets are carried on our audited consolidated financial statements, and it is likely that investors will lose all or part of their investment. If we seek additional financing to fund our business activities in the future and there remains substantial doubt about our ability to continue as a going concern,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investors or other financing sources may be unwilling to provide additional funding to us on commercially reasonable terms or at all.</w:t>
      </w:r>
    </w:p>
    <w:p>
      <w:pPr>
        <w:spacing w:after="0" w:line="170"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i w:val="1"/>
          <w:iCs w:val="1"/>
          <w:color w:val="auto"/>
        </w:rPr>
        <w:t>The reorganization of Ferrellgas Partners or other actions that may be required to address the Ferrellgas Partners Notes that were due June 15, 2020 but remain outstanding and the upcoming maturities of the operating partnership’s notes may have an adverse impact on us and our operations.</w:t>
      </w:r>
    </w:p>
    <w:p>
      <w:pPr>
        <w:spacing w:after="0" w:line="18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Because the limited partnership interests in the operating partnership are the sole material asset of Ferrellgas Partners, it is likely that assets and/or cash flows of the operating partnership and its subsidiaries would be necessary for any out-of-court restructuring of the Ferrellgas Partners Notes, if such a restructuring is achievable, and any such restructuring may require the operating partnership to incur additional debt. The covenants in the indentures that govern the operating partnership’s notes restrict, but do not prohibit, the ability of the operating partnership and its subsidiaries to make distributions or other restricted payments to Ferrellgas Partners. Although the operating partnership and its subsidiaries have $185.0 million of capacity under the most restrictive of the operating partnership’s indentures to make distributions or other restricted payments to Ferrellgas Partners through direct or indirect means, this capacity does not allow the operating partnership or its subsidiaries to make distributions to Ferrellgas Partners sufficient to pay the principal of and accrued interest on the Ferrellgas Partners Notes. Payments or distributions made by the operating partnership to Ferrellgas Partners may be challenged as a fraudulent conveyance.</w:t>
      </w:r>
    </w:p>
    <w:p>
      <w:pPr>
        <w:spacing w:after="0" w:line="17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i w:val="1"/>
          <w:iCs w:val="1"/>
          <w:color w:val="auto"/>
        </w:rPr>
        <w:t>If we are unable to access the financing markets, including through our accounts receivable securitization facility, it may adversely impact our business and liquidity.</w:t>
      </w:r>
    </w:p>
    <w:p>
      <w:pPr>
        <w:spacing w:after="0" w:line="170"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Market conditions may impact our ability to access the financing markets on terms acceptable to us or at all. For example, due to our secured indebtedness we may be unable to make additional borrowings under or may be required to repay outstanding borrowings under our accounts receivable securitization facility. See “—Our ability to meet financial ratio requirements under our accounts receivable securitization facility may be affected by many factors, some of which are beyond our control, and any failure to meet such requirements could result in loss of our access to or termination of that facility.” If we are unable to access the financing markets, including through our accounts receivable securitization facility, we would be required to use cash on hand to fund operations and repay outstanding debt, including the Ferrellgas Partners Notes and upcoming maturities on the operating partnership’s senior unsecured notes. There is no assurance that we will be able to generate sufficient cash to fund our operations and refinance such debt. A failure to generate such cash would have a material adverse effect on our business. Additionally, even if we are able to generate sufficient cash to refinance such debt, cash available to the company for working capital and other corporate uses could be reduced. Market conditions may also impact our ability to utilize letters of credits or other financial instruments we use to conduct our business. See “—In connection with our senior secured notes offering in April 2020, we terminated our Senior Secured Credit Facility, including the letter of credit sub-facility thereunder, and were required to cash-collateralize our letters of credit outstanding thereunder and make an $11.5 million cash deposit with the administrative agent under that facility. Our inability to access and employ the cash that collateralizes our outstanding and future letters of credit or the $11.5 million cash deposit held by the administrative agent under our terminated Senior Secured Credit Facility may impact our liquidity.”</w:t>
      </w:r>
    </w:p>
    <w:p>
      <w:pPr>
        <w:spacing w:after="0" w:line="17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i w:val="1"/>
          <w:iCs w:val="1"/>
          <w:color w:val="auto"/>
        </w:rPr>
        <w:t>Weather conditions, including warm winters, dry or warm weather in the harvest season and poor weather in the grilling season, may reduce the demand for propane, which could have a material adverse effect on our results of operations, cash flows, financial condition or liquidity.</w:t>
      </w:r>
    </w:p>
    <w:p>
      <w:pPr>
        <w:spacing w:after="0" w:line="184"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Weather conditions have a significant impact on the demand for propane for heating, agricultural, and recreational grilling purposes. Many of our customers rely heavily on propane as a heating fuel. Accordingly, our sales volumes of propane are highest during the five-month winter-heating season of November through March and are directly affected by the temperatures during these months. During fiscal 2020, approximately 54% of our propane sales volume was attributable to sales during the winter-heating season. Actual weather conditions can vary substantially from year to year, which may significantly affect our financial performance or condition. Furthermore, variations in weather in one or more regions in which we operate can significantly affect our total propane sales volume and therefore our financial performance or condition. The agricultural demand for propane is also affected by weather, as dry or warm weather during the harvest season may reduce the demand for propane used in some crop drying applications.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Sales from portable tank exchanges experience higher volumes in the spring and summer, which includes the majority of the grilling season. Sustained periods of poor weather, particularly in the grilling season, can negatively affect our portable tank exchange revenues. In addition, poor weather may reduce consumers’ propensity to purchase and use grills and other propane-fueled appliances thereby reducing demand for portable tank exchange.</w:t>
      </w:r>
    </w:p>
    <w:p>
      <w:pPr>
        <w:spacing w:after="0" w:line="157"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Furthermore, increasing concentrations of greenhouse gases (“GHG”), such as carbon dioxide, in the Earth’s atmosphere may produce climate changes that have significant physical effects, such as volatility in seasonal temperatures and increased frequency and severity of storms, floods and other climatic events. To the extent weather conditions are affected by climate change or demand is impacted by regulations associated with climate change, customers’ energy use could increase or decrease depending on the duration and magnitude of the changes, leading either to increased investment or decreased revenues.</w:t>
      </w:r>
    </w:p>
    <w:p>
      <w:pPr>
        <w:spacing w:after="0" w:line="19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Weather in the more highly concentrated geographic areas we serve for fiscal 2020 was approximately 4% warmer than normal, and 8% warmer than fiscal 2019.</w:t>
      </w:r>
    </w:p>
    <w:p>
      <w:pPr>
        <w:spacing w:after="0" w:line="170"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i w:val="1"/>
          <w:iCs w:val="1"/>
          <w:color w:val="auto"/>
        </w:rPr>
        <w:t>Sudden and sharp increases in wholesale propane prices may not be completely passed on to our customers, especially those with which we have contracted pricing arrangements. These contracted pricing arrangements will adversely affect our profit margins if they are not immediately hedged with an offsetting propane purchase commitment and wholesale propane prices do increase.</w:t>
      </w:r>
    </w:p>
    <w:p>
      <w:pPr>
        <w:spacing w:after="0" w:line="187"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Gross margin from the retail distribution of propane is primarily based on the cents-per-gallon difference between the sales price we charge our customers and our costs to purchase and deliver propane to our propane distribution locations. Because our profitability is sensitive to changes in wholesale supply costs, it will be adversely affected if we cannot pass on increases in the cost of propane to our customers.</w:t>
      </w:r>
    </w:p>
    <w:p>
      <w:pPr>
        <w:spacing w:after="0" w:line="187" w:lineRule="exact"/>
        <w:rPr>
          <w:sz w:val="20"/>
          <w:szCs w:val="20"/>
          <w:color w:val="auto"/>
        </w:rPr>
      </w:pPr>
    </w:p>
    <w:p>
      <w:pPr>
        <w:ind w:left="60" w:right="519" w:firstLine="648"/>
        <w:spacing w:after="0" w:line="263" w:lineRule="auto"/>
        <w:rPr>
          <w:sz w:val="20"/>
          <w:szCs w:val="20"/>
          <w:color w:val="auto"/>
        </w:rPr>
      </w:pPr>
      <w:r>
        <w:rPr>
          <w:rFonts w:ascii="Arial" w:cs="Arial" w:eastAsia="Arial" w:hAnsi="Arial"/>
          <w:sz w:val="18"/>
          <w:szCs w:val="18"/>
          <w:color w:val="auto"/>
        </w:rPr>
        <w:t>We enter into propane sales commitments with a portion of our customers that provide for a contracted price agreement for a specified period of time. A certain percentage of that exposure is hedged with an offsetting propane purchase commitment.</w:t>
      </w:r>
    </w:p>
    <w:p>
      <w:pPr>
        <w:spacing w:after="0" w:line="184"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The wholesale propane price per gallon is subject to various market conditions and may fluctuate based on changes in demand, supply and other energy commodity prices. Propane prices tend to partially correlate with crude oil and natural gas prices. We employ risk management activities that attempt to mitigate risks related to the purchasing, storing, transporting and selling of propane. However, sudden and sharp increases in wholesale propane prices cannot be passed on to customers with which we have contracted pricing arrangements. Therefore, we are exposed to the risk of increased wholesale propane prices and reduced profit margins on the percentage of our contractual commitments that are not immediately hedged with an offsetting propane purchase commitment.</w:t>
      </w:r>
    </w:p>
    <w:p>
      <w:pPr>
        <w:spacing w:after="0" w:line="177"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i w:val="1"/>
          <w:iCs w:val="1"/>
          <w:color w:val="auto"/>
        </w:rPr>
        <w:t>Sudden and sharp decreases in wholesale propane prices may result in our customers’ not fulfilling their obligations under contracted pricing arrangements previously entered into with us. Any customer defaults under these higher sales price arrangements may adversely affect our profit margins.</w:t>
      </w:r>
    </w:p>
    <w:p>
      <w:pPr>
        <w:spacing w:after="0" w:line="184"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We attempt to lock-in a gross margin per gallon on a percentage of our contracted sales commitments by hedging or entering into fixed price propane purchase contracts with our suppliers. If we were to experience sudden and sharp propane price decreases, our customers may not fulfill their obligations to purchase propane from us at their previously contracted price per gallon, and we may not be able to sell the related hedged or fixed price propane at a profitable sales price per gallon in the then-current pricing environment.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We are dependent on our principal suppliers, which increases the risks from an interruption in supply and transportation.</w:t>
      </w:r>
    </w:p>
    <w:p>
      <w:pPr>
        <w:spacing w:after="0" w:line="248"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Through our supply procurement activities, we purchased approximately 53% of our propane from seven suppliers during fiscal 2020. During extended periods of colder-than-normal weather, these suppliers or other suppliers in one or more of the areas in which we operate could temporarily run out of propane, necessitating the transportation of propane by truck, rail car or other means from other areas. If supplies from these sources were interrupted, certain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suppliers were to default or difficulties in alternative transportation were to arise, the cost of procuring replacement supplies and transporting those supplies from alternative locations might be materially higher and, at least on a short-term basis, our margins could be reduced.</w:t>
      </w:r>
    </w:p>
    <w:p>
      <w:pPr>
        <w:spacing w:after="0" w:line="18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i w:val="1"/>
          <w:iCs w:val="1"/>
          <w:color w:val="auto"/>
        </w:rPr>
        <w:t>Our failure or our counterparties’ failure to perform on obligations under commodity derivative and financial derivative contracts and increased costs associated with such contracts could materially affect our liquidity, cash flows and results of operations.</w:t>
      </w:r>
    </w:p>
    <w:p>
      <w:pPr>
        <w:spacing w:after="0" w:line="184"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Volatility in the oil and gas commodities sector for an extended period of time or intense volatility in the near term could impair our or our counterparties’ ability to meet margin calls, which could cause us or our counterparties to default on commodity and financial derivative contracts. This could have a material adverse effect on our financial position or liquidity or on our ability to procure product at acceptable prices or at all and could increase our costs to procure product.</w:t>
      </w:r>
    </w:p>
    <w:p>
      <w:pPr>
        <w:spacing w:after="0" w:line="15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In addition, while most of the rules and regulations under the Dodd-Frank Wall Street Reform and Consumer Protection Act (the “Dodd-Frank Act”) have been finalized, some additional rules and regulations have yet to be adopted. It is possible that additional rules and regulations under the Dodd-Frank Act may increase our cost of using derivative instruments to hedge risks associated with our business or may reduce the availability of such instruments or the creditworthiness of derivatives counterparties available to us. While costs imposed directly on us due to regulatory requirements for derivatives under the Dodd-Frank Act, such as reporting, recordkeeping and electing the end-user exception from mandatory clearing, are relatively minor, costs imposed upon our counterparties may increase the cost of our doing business in the derivatives markets to the extent such costs are passed on to us.</w:t>
      </w:r>
    </w:p>
    <w:p>
      <w:pPr>
        <w:spacing w:after="0" w:line="178"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i w:val="1"/>
          <w:iCs w:val="1"/>
          <w:color w:val="auto"/>
        </w:rPr>
        <w:t>Hurricanes and other natural disasters could have a material adverse effect on our business, financial condition and results of operations.</w:t>
      </w:r>
    </w:p>
    <w:p>
      <w:pPr>
        <w:spacing w:after="0" w:line="170"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Hurricanes and other natural disasters can potentially destroy numerous business structures and homes and, if occurring in the Gulf Coast region of the United States, could disrupt the supply chain for oil and gas products. Disruptions in supply could have a material adverse effect on our business, financial condition, results of operations and cash flow. Damage and higher prices caused by hurricanes and other natural disasters could also have an adverse effect on our financial condition due to the impact on the financial condition of our customers.</w:t>
      </w:r>
    </w:p>
    <w:p>
      <w:pPr>
        <w:spacing w:after="0" w:line="1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To the extent the frequency or magnitude of significant weather events and natural disasters increases, the resulting increase in disruptions also could have adverse impacts on our business on both the supply and demand side and therefore adversely affect our results of operations and financial condition.</w:t>
      </w:r>
    </w:p>
    <w:p>
      <w:pPr>
        <w:spacing w:after="0" w:line="184"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i w:val="1"/>
          <w:iCs w:val="1"/>
          <w:color w:val="auto"/>
        </w:rPr>
        <w:t>The propane distribution business is highly competitive, and competition may negatively affect our sales volumes and therefore our results of operations, cash flows, financial condition and liquidity.</w:t>
      </w:r>
    </w:p>
    <w:p>
      <w:pPr>
        <w:spacing w:after="0" w:line="170" w:lineRule="exact"/>
        <w:rPr>
          <w:sz w:val="20"/>
          <w:szCs w:val="20"/>
          <w:color w:val="auto"/>
        </w:rPr>
      </w:pPr>
    </w:p>
    <w:p>
      <w:pPr>
        <w:ind w:left="60" w:right="279" w:firstLine="648"/>
        <w:spacing w:after="0" w:line="270" w:lineRule="auto"/>
        <w:rPr>
          <w:sz w:val="20"/>
          <w:szCs w:val="20"/>
          <w:color w:val="auto"/>
        </w:rPr>
      </w:pPr>
      <w:r>
        <w:rPr>
          <w:rFonts w:ascii="Arial" w:cs="Arial" w:eastAsia="Arial" w:hAnsi="Arial"/>
          <w:sz w:val="17"/>
          <w:szCs w:val="17"/>
          <w:color w:val="auto"/>
        </w:rPr>
        <w:t>Our profitability is affected by the competition for customers among all of the participants in the propane distribution business. We compete with a number of large national and regional firms and several thousand small independent firms. Because of the relatively low barriers to entry into the propane market, there is the potential for small independent propane distributors, as well as other companies not previously engaged in propane distribution, to compete with us. Some rural electric cooperatives and fuel oil distributors have expanded their businesses to include propane distribution. As a result, we are subject to the risk of additional competition in the future. Some of our competitors may have greater financial resources or lower costs than we do. Should a competitor attempt to increase market share by reducing prices, our operating margins and customer base may be negatively impacted. Generally, warmer-than-normal weather and increasing wholesale fuel prices further intensify competition.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propane distribution industry is a mature one, which may limit our growth.</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The propane distribution industry is a mature one. According to the U.S. Energy Information Administration, approximately 13 billion gallons of propane comprised the U.S. propane market in 2019. Based upon industry publications, propane accounts for approximately 3% to 4% of energy consumption in the United States, a level which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has remained relatively constant for the past two decades, and accounts for approximately 5% of energy used to heat homes in the United States. We foresee no growth or a small decline in total national demand for propane in the near future. Year-to-year industry volumes are primarily impacted by fluctuations in temperatures and economic conditions. Our ability to grow our sales volumes within the propane distribution industry is primarily dependent upon our ability to acquire other propane distributors and integrate those acquisitions into our operations and upon the success of our marketing efforts to acquire new customers organically. If we are unable to compete effectively in the propane distribution business, we may lose existing customers or fail to acquire new customers.</w:t>
      </w:r>
    </w:p>
    <w:p>
      <w:pPr>
        <w:spacing w:after="0" w:line="177"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i w:val="1"/>
          <w:iCs w:val="1"/>
          <w:color w:val="auto"/>
        </w:rPr>
        <w:t>We may not be successful in making acquisitions, and any acquisitions we make may not result in achievement of our anticipated results. In either case, this failure would potentially limit our growth, limit our ability to compete and impair our results of operations and financial condition.</w:t>
      </w:r>
    </w:p>
    <w:p>
      <w:pPr>
        <w:spacing w:after="0" w:line="184"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We have historically expanded our business through acquisitions. We regularly consider and evaluate opportunities to acquire propane distributors. We may choose to finance these acquisitions through internal cash flow, external borrowings or the issuance of additional common units or other securities. We have substantial competition for acquisitions, and, although we believe there are numerous potential large and small acquisition candidates in our industry, there can be no assurance that:</w:t>
      </w:r>
    </w:p>
    <w:p>
      <w:pPr>
        <w:spacing w:after="0" w:line="188" w:lineRule="exact"/>
        <w:rPr>
          <w:sz w:val="20"/>
          <w:szCs w:val="20"/>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able to make any acquisitions on favorable terms or at all;</w:t>
      </w:r>
    </w:p>
    <w:p>
      <w:pPr>
        <w:spacing w:after="0" w:line="225" w:lineRule="exact"/>
        <w:rPr>
          <w:rFonts w:ascii="Arial" w:cs="Arial" w:eastAsia="Arial" w:hAnsi="Arial"/>
          <w:sz w:val="18"/>
          <w:szCs w:val="18"/>
          <w:color w:val="auto"/>
        </w:rPr>
      </w:pPr>
    </w:p>
    <w:p>
      <w:pPr>
        <w:ind w:left="1020" w:right="99" w:hanging="322"/>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not assume or become subject to known or unknown liabilities, including environmental liabilities, or that we will be protected against any such liabilities by indemnification from the sellers or insurance;</w:t>
      </w:r>
    </w:p>
    <w:p>
      <w:pPr>
        <w:spacing w:after="0" w:line="146" w:lineRule="exact"/>
        <w:rPr>
          <w:rFonts w:ascii="Arial" w:cs="Arial" w:eastAsia="Arial" w:hAnsi="Arial"/>
          <w:sz w:val="17"/>
          <w:szCs w:val="17"/>
          <w:color w:val="auto"/>
        </w:rPr>
      </w:pPr>
    </w:p>
    <w:p>
      <w:pPr>
        <w:ind w:left="1020" w:right="35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able to successfully integrate acquired operations or achieve any expected cost savings or other synergies;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acquisitions made will not be dilutive to our earnings and distributions;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not have unforeseen difficulties operating in new geographic areas or in new business segments;</w:t>
      </w:r>
    </w:p>
    <w:p>
      <w:pPr>
        <w:spacing w:after="0" w:line="236" w:lineRule="exact"/>
        <w:rPr>
          <w:rFonts w:ascii="Arial" w:cs="Arial" w:eastAsia="Arial" w:hAnsi="Arial"/>
          <w:sz w:val="17"/>
          <w:szCs w:val="17"/>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management’s and employees’ attention will not be diverted from other business concerns;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suffer customer or key employee loss from the acquired businesses;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additional equity we issue as consideration for an acquisition will not be dilutive to our unitholders; or</w:t>
      </w:r>
    </w:p>
    <w:p>
      <w:pPr>
        <w:spacing w:after="0" w:line="236" w:lineRule="exact"/>
        <w:rPr>
          <w:rFonts w:ascii="Arial" w:cs="Arial" w:eastAsia="Arial" w:hAnsi="Arial"/>
          <w:sz w:val="17"/>
          <w:szCs w:val="17"/>
          <w:color w:val="auto"/>
        </w:rPr>
      </w:pPr>
    </w:p>
    <w:p>
      <w:pPr>
        <w:ind w:left="1020" w:right="43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debt we incur to finance an acquisition will not affect the operating partnership’s ability to make distributions to Ferrellgas Partners or service our existing debt.</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The propane distribution business faces competition from other energy sources, which may reduce the existing demand for our propane.</w:t>
      </w:r>
    </w:p>
    <w:p>
      <w:pPr>
        <w:spacing w:after="0" w:line="170"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Propane competes with other sources of energy, some of which can be less costly for equivalent energy value. We compete for customers against suppliers of electricity, natural gas and fuel oil. The convenience and efficiency of electricity makes it an attractive energy source for consumers and developers of new homes. Electricity is a major competitor of propane, but propane has historically enjoyed a competitive price advantage over electricity. Except for some industrial and commercial applications, propane is generally not competitive with natural gas in areas where natural gas pipelines already exist, because such pipelines generally make it possible for the delivered cost of natural gas to be less expensive than the bulk delivery of propane. Although the expansion of natural gas into traditional propane markets has historically been inhibited by the capital cost required to expand distribution and pipeline systems, the gradual expansion of the nation’s natural gas distribution systems has resulted in the availability of natural gas in areas that were previously dependent upon propane. As long as natural gas remains a less expensive energy source than propane, our business will lose customers in each region in which natural gas distribution systems are expanded.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gradual expansion of the nation’s natural gas distribution systems has resulted, and may continue to result, in the availability of natural gas in some areas that previously depended upon propane. Although propane is similar to fuel oil in some applications and market demand, propane and fuel oil compete to a lesser extent primarily because of the cost of converting from one to the other and due to the fact that both fuel oil and propane have generally developed their own distinct geographic markets.</w:t>
      </w:r>
    </w:p>
    <w:p>
      <w:pPr>
        <w:spacing w:after="0" w:line="188"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The U.S. Environmental Protection Agency (the “EPA”) has determined that carbon dioxide and other GHGs are regulated pollutants under the Clean Air Act. As a result of this determination, in August 2015 the EPA announced its Clean Power Plan rule, which requires states to submit plans for the reduction of GHG emissions from power plants. The Clean Power Plan was anticipated to result in a shift away from coal-based sources of energy to natural gas and renewables. Upon publication of the Clean Power Plan rule in October 2015, more than two dozen States as well as industry and labor groups challenged the rule in the U.S. Court of Appeals for the D.C. Circuit. On February 9, 2016, the U.S. Supreme Court stayed implementation of the Clean Power Plan rule while legal challenges to the rule proceed. However, in August 2018, the EPA announced its proposal to replace the Clean Power Plan rule with the Affordable Clean Energy rule. Under the Affordable Clean Energy rule, coal-fired power plants would be required to make efficiency improvements to reduce their GHG emissions, but it generally scaled back the obligations under the Clean Power Plan and allows individual states greater authority to make their own plans for regulating GHG emissions from coal-fired power plants. On June 19, 2019, the EPA issued the final Affordable Clean Energy rule. On July 8, 2019, two health advocate groups filed a petition for review in the U.S. Court of Appeals for the D.C. Circuit claiming that the rule is inadequate. Additional actions, including by 22 states, were subsequently brought challenging the rule</w:t>
      </w:r>
      <w:r>
        <w:rPr>
          <w:rFonts w:ascii="Arial" w:cs="Arial" w:eastAsia="Arial" w:hAnsi="Arial"/>
          <w:sz w:val="17"/>
          <w:szCs w:val="17"/>
          <w:color w:val="0000FF"/>
        </w:rPr>
        <w:t>.</w:t>
      </w:r>
      <w:r>
        <w:rPr>
          <w:rFonts w:ascii="Arial" w:cs="Arial" w:eastAsia="Arial" w:hAnsi="Arial"/>
          <w:sz w:val="17"/>
          <w:szCs w:val="17"/>
          <w:color w:val="auto"/>
        </w:rPr>
        <w:t xml:space="preserve"> The outcome of the pending litigation and its impact on our business is therefore uncertain. Although this rule may increase demand for natural gas, other regulations governing drilling for natural gas may make natural gas extraction more expensive. Accordingly, the resulting impact on demand for propane and our business is uncertain and may change as implementation of the rule moves forward. We cannot predict the effect that the development of alternative energy sources might have on our financial position or results of operations.</w:t>
      </w:r>
    </w:p>
    <w:p>
      <w:pPr>
        <w:spacing w:after="0" w:line="18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Our operations, capital expenditures and financial results may be affected by regulatory changes and/or market responses to global climate change.</w:t>
      </w:r>
    </w:p>
    <w:p>
      <w:pPr>
        <w:spacing w:after="0" w:line="170"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There continues to be concern, both nationally and internationally, about climate change and the contribution of GHG emissions, most notably carbon dioxide, to global warming. Because propane is considered a clean alternative fuel under the federal Clean Air Act Amendments of 1990, we anticipate that this will provide us with a competitive advantage over other sources of energy, such as fuel oil and coal, to the extent new climate change regulations become effective. At the same time, increased regulation of GHG emissions, especially in the transportation sector, could impose significant additional costs on us, our suppliers and our customers. In recent years, there has been an increase in state initiatives aimed at regulating GHG emissions. For example, the California Environmental Protection Agency established a Cap-and-Trade program that requires certain covered entities, including propane distribution companies, to purchase allowances to compensate for the GHG emissions created by their business operations or obtain qualifying offset credits. The impact of new legislation and regulations will depend on a number of factors, including (i) which industry sectors would be impacted, (ii) the timing of required compliance, (iii) the overall GHG emissions cap level, (iv) the allocation of emission allowances to specific sources, and (v) the costs and opportunities associated with compliance. At this time, we cannot predict the effect that climate change regulation may have on our business, financial condition or operations in the future.</w:t>
      </w:r>
    </w:p>
    <w:p>
      <w:pPr>
        <w:spacing w:after="0" w:line="174"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i w:val="1"/>
          <w:iCs w:val="1"/>
          <w:color w:val="auto"/>
        </w:rPr>
        <w:t>Energy efficiency and technology advances may reduce demand for propane, and increases in propane prices may cause our residential customers to increase their conservation efforts.</w:t>
      </w:r>
    </w:p>
    <w:p>
      <w:pPr>
        <w:spacing w:after="0" w:line="17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national trend toward increased conservation and technological advances, including installation of improved insulation and the development of more efficient furnaces and other heating devices, has reduced the demand for propane in our industry. We cannot predict the effect of future conservation measures or the effect that any technological advances in heating, conservation, energy generation or other devices might have on our operations. When the price of propane increases, some of our customers will tend to increase their conservation efforts and thereby decrease their consumption of propane.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Economic and political conditions may harm the energy business disproportionately to other industries.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Deteriorating regional and global economic and political conditions, including U.S. sanctions on Iran oil exports and conflict, unrest and economic instability in oil producing countries and regions, may cause significant disruptions to commerce throughout the world. If those disruptions occur in areas of the world which are tied to the energy industry, such as the Middle East, it is most likely that our industry will be either affected first or affected to a greater extent than other industries. These conditions or disruptions may:</w:t>
      </w:r>
    </w:p>
    <w:p>
      <w:pPr>
        <w:spacing w:after="0" w:line="188" w:lineRule="exact"/>
        <w:rPr>
          <w:sz w:val="20"/>
          <w:szCs w:val="20"/>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 our ability to effectively market or acquire propane;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 our ability to raise equity or debt capital for acquisitions, capital expenditures or ongoing operations.</w:t>
      </w:r>
    </w:p>
    <w:p>
      <w:pPr>
        <w:spacing w:after="0" w:line="248"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i w:val="1"/>
          <w:iCs w:val="1"/>
          <w:color w:val="auto"/>
        </w:rPr>
        <w:t>The revenues we receive from our portable tank exchange operations are concentrated with a limited number of retailers under non-exclusive arrangements that may be terminated at will.</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 majority of the propane gallons sales that we generate from our delivery of propane by portable tank exchange are concentrated with a limited number of retailers. If one or more of these retailers were to materially reduce, terminate, or require price reductions or other adverse modifications or concessions in our selling terms, our results from our delivery of propane from portable tank exchanges may decline. For fiscal 2020, four retailers represented approximately 51% of our portable tank exchange net revenues. None of our significant retail accounts associated with portable tank exchanges are contractually bound to offer portable tank exchange service or products or to use us for delivery of propane by portable exchange. Additionally, we compete with a number of large national and regional firms that may be capable of providing services and products at a similar scale for our significant retail accounts. Consequently, any of those retailers could choose at any time to reduce materially or terminate its business with us, use one or more of our competitors for delivery of propane by portable tank exchange or related propane products or cease to provide portable tank exchanges services or products at all. Continued relations with a retailer depend upon various factors, including price, customer service, consumer demand and competition. In addition, most of our significant retailers have multiple vendor policies and may seek to accept a competitor’s delivery of propane by portable tank exchange, or accept products competitive with our propane related products, at new or existing locations of these significant retailers.</w:t>
      </w:r>
    </w:p>
    <w:p>
      <w:pPr>
        <w:spacing w:after="0" w:line="17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i w:val="1"/>
          <w:iCs w:val="1"/>
          <w:color w:val="auto"/>
        </w:rPr>
        <w:t>If the distribution locations that some of our national tank exchange customers rely upon for the delivery of propane do not perform up to the expectations of these customers, if we encounter difficulties in managing the operations of these distribution locations or if we or these distribution locations are not able to manage growth effectively, our relationships with our national tank exchange customers may be adversely impacted and our delivery of propane to our national tank exchange customers may decline.</w:t>
      </w:r>
    </w:p>
    <w:p>
      <w:pPr>
        <w:spacing w:after="0" w:line="18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rely on company-owned and independently-owned distributors to deliver propane to some of our national tank exchange customers. Accordingly, our success depends on our ability to maintain and manage distributor relationships and operations and on the distributors’ ability to set up and adequately service accounts. National tank exchange customers impose demanding service requirements on us, and we could experience a loss of consumer or customer goodwill if our distributors do not adhere to our quality control and service guidelines or fail to ensure the timely delivery of an adequate supply of propane to our national customers. The poor performance of a distribution location for a national tank exchange customer could jeopardize our entire relationship with that national tank exchange customer and cause our delivery of propane to that particular customer to decline.</w:t>
      </w:r>
    </w:p>
    <w:p>
      <w:pPr>
        <w:spacing w:after="0" w:line="17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i w:val="1"/>
          <w:iCs w:val="1"/>
          <w:color w:val="auto"/>
        </w:rPr>
        <w:t>Potential retail partners may not be able to obtain necessary permits or may be substantially delayed in obtaining necessary permits, which could adversely affect our ability to increase our delivery of propane by portable tank exchange to new retail locations.</w:t>
      </w:r>
    </w:p>
    <w:p>
      <w:pPr>
        <w:spacing w:after="0" w:line="184"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Local ordinances, which vary from jurisdiction to jurisdiction, generally require retailers to obtain permits to store and sell propane tanks. These ordinances influence retailers’ acceptance of propane by portable tank exchange, distribution methods, propane tank packaging and storage. The ability and time required to obtain permits varies by jurisdiction. Delays in obtaining permits have from time to time significantly delayed the installation of new retail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locations. Some jurisdictions have refused to issue the necessary permits, which has prevented some installations. Some jurisdictions may also impose additional restrictions on our ability to market and our distributors’ ability to transport propane tanks or otherwise maintain its portable tank exchange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 are subject to operating and litigation risks, and related costs or liabilities may not be covered by insurance.</w:t>
      </w:r>
    </w:p>
    <w:p>
      <w:pPr>
        <w:spacing w:after="0" w:line="22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We are subject to all operating hazards and risks normally incidental to the handling, storing and delivering of combustible liquids such as propane. These operations face an inherent risk of exposure to general liability claims in the event that they result in injury or destruction of property. As a result, we have been, and are likely to be, a defendant in various legal proceedings arising in the ordinary course of business. Our insurance policies do not cover all losses, costs or liabilities that we may experience, and insurance companies that currently insure companies in our industry or in the energy industry generally may cease to do so or substantially increase premiums. Although we maintain insurance policies with insurers in such amounts and with such coverages and deductibles as we believe are reasonable and prudent, we cannot guarantee that such insurance will be adequate to protect us from all material expenses related to potential future claims for personal injury and property damage or that such levels of insurance will be available in the future at economical prices.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 significant increase in motor fuel prices may adversely affect our profits.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Motor fuel is a significant operating expense for us in connection with the purchase and delivery of propane to our customers. The price and supply of motor fuel is unpredictable and fluctuates based on events we cannot control, such as geopolitical developments, supply and demand for oil, gas, and refined fuels, actions by oil and gas producers, actions by motor fuel refiners, conflict, unrest or economic instability in oil producing countries and regions, regional production patterns and weather conditions. We may not be able to pass any increases in motor fuel prices on to our customers. As a result, any increases in these prices may adversely affect our profitability and competitiveness.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Rail transportation of propane gas has inherent operating risks.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Our operations include transporting propane gas on rail cars. Such cargo is at risk of being damaged or lost because of events such as derailment, inclement weather, mechanical failures, grounding or collision, fire, explosion, environmental accidents, terrorism and political instability. Such occurrences could result in death or injury to persons, loss of property, environmental damage, delays in the delivery of cargo, loss of revenues, termination of contracts, governmental fines, penalties or restrictions on conducting business, higher insurance rates and damage to our reputation and customer relationships generally. Any of these circumstances or events could increase our costs or lower our revenues.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business would be adversely affected if service on the railroads we use is interrupted.</w:t>
      </w:r>
    </w:p>
    <w:p>
      <w:pPr>
        <w:spacing w:after="0" w:line="225" w:lineRule="exact"/>
        <w:rPr>
          <w:sz w:val="20"/>
          <w:szCs w:val="20"/>
          <w:color w:val="auto"/>
        </w:rPr>
      </w:pPr>
    </w:p>
    <w:p>
      <w:pPr>
        <w:ind w:left="60" w:right="619" w:firstLine="648"/>
        <w:spacing w:after="0" w:line="308" w:lineRule="auto"/>
        <w:rPr>
          <w:sz w:val="20"/>
          <w:szCs w:val="20"/>
          <w:color w:val="auto"/>
        </w:rPr>
      </w:pPr>
      <w:r>
        <w:rPr>
          <w:rFonts w:ascii="Arial" w:cs="Arial" w:eastAsia="Arial" w:hAnsi="Arial"/>
          <w:sz w:val="17"/>
          <w:szCs w:val="17"/>
          <w:color w:val="auto"/>
        </w:rPr>
        <w:t>We do not own or operate the railroads on which the railcars we use are transported. Any disruptions in the operations of these railroads could adversely impact our ability to deliver product to our customers.</w:t>
      </w:r>
    </w:p>
    <w:p>
      <w:pPr>
        <w:spacing w:after="0" w:line="146"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8"/>
          <w:szCs w:val="18"/>
          <w:i w:val="1"/>
          <w:iCs w:val="1"/>
          <w:color w:val="auto"/>
        </w:rPr>
        <w:t>If we are unable to protect our information technology systems against service interruption, misappropriation of data, or breaches of security resulting from cyber security attacks or other events, or we encounter other unforeseen difficulties in the operation of our information technology systems, our operations could be disrupted, our business and reputation may suffer, and our internal controls could be adversely affected.</w:t>
      </w:r>
    </w:p>
    <w:p>
      <w:pPr>
        <w:spacing w:after="0" w:line="18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In the ordinary course of business, we rely on information technology systems, including the Internet and third-party hosted services, to support a variety of business processes and activities and to store sensitive data, including (i) intellectual property, (ii) our proprietary business information and that of our suppliers and business partners, (iii) personally identifiable information of our customers and employees, and (iv) data with respect to invoicing and the collection of payments, accounting, procurement, and supply chain activities. In addition, we rely on our information technology systems to process financial information and results of operations for internal reporting purposes and to comply with financial reporting, legal, and tax requirements. Despite our security measures, our information technology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systems may be vulnerable to attacks by hackers or breached due to employee error, malfeasance, sabotage, or other disruptions.</w:t>
      </w:r>
    </w:p>
    <w:p>
      <w:pPr>
        <w:spacing w:after="0" w:line="170"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The efficient execution of our business is dependent upon the proper functioning of our internal systems, and we depend on our management information systems to process orders, manage inventory, manage accounts receivable collections, maintain distributor and customer information, maintain cost-efficient operations and assist in delivering propane on a timely basis. In addition, our staff of management information systems professionals relies heavily on the support of several key personnel and vendors. Any disruption in the operation of those management information systems, including a cyber-security breach or loss of employees knowledgeable about the operation of such systems, termination of our relationship with one or more of these key vendors or failure to continue to modify and upgrade such systems effectively as our business expands could negatively affect our business, financial condition or reputation.</w:t>
      </w:r>
    </w:p>
    <w:p>
      <w:pPr>
        <w:spacing w:after="0" w:line="165"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i w:val="1"/>
          <w:iCs w:val="1"/>
          <w:color w:val="auto"/>
        </w:rPr>
        <w:t>We may incur significant costs in order to comply with privacy and data security laws and regulations, and any failure to comply with such laws and regulations could result in significant penalties or other liabilities or costs.</w:t>
      </w:r>
    </w:p>
    <w:p>
      <w:pPr>
        <w:spacing w:after="0" w:line="146"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There are numerous laws and regulations regarding privacy and the storage, sharing, use, processing, transfer, disclosure and protection of personal data, the scope of which is changing, subject to differing interpretations, and may be inconsistent between jurisdictions. For example, California recently adopted the California Consumer Privacy Act (“CCPA”), which became effective on January 1, 2020, and limits how we may collect and use personal data. The effects of the CCPA potentially are far-reaching, and may require us to modify our data processing practices and policies and incur substantial compliance-related costs and expenses. These and other data privacy laws and their interpretations continue to develop and may be inconsistent from jurisdiction to jurisdiction. Non-compliance with these laws could result in penalties or significant legal liability. Although we take reasonable efforts to comply with all applicable laws and regulations, there can be no assurance that we will not be subject to regulatory action, including fines, in the event of an incident.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w:t>
      </w:r>
    </w:p>
    <w:p>
      <w:pPr>
        <w:spacing w:after="0" w:line="18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The conduct of our business may infringe the intellectual property rights of others, which may cause us to incur unexpected costs and place restrictions on our operations.</w:t>
      </w:r>
    </w:p>
    <w:p>
      <w:pPr>
        <w:spacing w:after="0" w:line="170" w:lineRule="exact"/>
        <w:rPr>
          <w:sz w:val="20"/>
          <w:szCs w:val="20"/>
          <w:color w:val="auto"/>
        </w:rPr>
      </w:pPr>
    </w:p>
    <w:p>
      <w:pPr>
        <w:ind w:left="60" w:right="299" w:firstLine="648"/>
        <w:spacing w:after="0" w:line="254" w:lineRule="auto"/>
        <w:rPr>
          <w:sz w:val="20"/>
          <w:szCs w:val="20"/>
          <w:color w:val="auto"/>
        </w:rPr>
      </w:pPr>
      <w:r>
        <w:rPr>
          <w:rFonts w:ascii="Arial" w:cs="Arial" w:eastAsia="Arial" w:hAnsi="Arial"/>
          <w:sz w:val="18"/>
          <w:szCs w:val="18"/>
          <w:color w:val="auto"/>
        </w:rPr>
        <w:t>We cannot be certain that the conduct of our business will not infringe the intellectual property rights of others. We may be subject to legal proceedings and claims in the ordinary course of our business, including claims of alleged infringement of intellectual property rights of third parties by us or our customers in connection with the conduct of our business. Any such claims, whether or not meritorious, could result in costly litigation and divert the efforts of our management and personnel. Moreover, should we be found liable for infringement, we may be required to enter into licensing agreements (if available on acceptable terms or at all) or to pay damages and to cease making or selling certain products or services. Any of the foregoing could cause us to incur significant costs and negatively affect our business, financial condition, or reputation.</w:t>
      </w:r>
    </w:p>
    <w:p>
      <w:pPr>
        <w:spacing w:after="0" w:line="19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i w:val="1"/>
          <w:iCs w:val="1"/>
          <w:color w:val="auto"/>
        </w:rPr>
        <w:t>We may incur significant costs in order to comply with environmental, health and safety laws and regulations, and any failure to comply with such laws and regulations could result in significant penalties or other liabilities or costs.</w:t>
      </w:r>
    </w:p>
    <w:p>
      <w:pPr>
        <w:spacing w:after="0" w:line="124"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Our operations are subject to stringent federal, state and local laws and regulations relating to the discharge of materials into the environment or otherwise relating to protection of the environment or human health and safety. Compliance with current and future environmental laws and regulations may increase our overall cost of business, including our capital costs to construct, maintain and upgrade equipment and facilities. Failure to comply with these laws and regulations may result in the assessment of significant administrative, civil and criminal penalties, the imposition of investigatory and remedial liabilities, and even the issuance of injunctions that may restrict or prohibit some or all of our operations. Environmental, health and safety laws and regulations are subject to change, resulting in potentially more stringent requirements, and we cannot provide any assurance that the cost of compliance with current and future laws and regulations or the consequences of any failure to comply will not have a material adverse effect on our results of operations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i w:val="1"/>
          <w:iCs w:val="1"/>
          <w:color w:val="auto"/>
        </w:rPr>
        <w:t>James Ballengee owes us approximately $18.3 million under a promissory note. Mr. Ballengee recently defaulted on the first payment thereunder and there can be no assurance that the balance or any portion thereof will be recovered.</w:t>
      </w:r>
    </w:p>
    <w:p>
      <w:pPr>
        <w:spacing w:after="0" w:line="124"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In connection with the closing of our acquisition of Bridger Logistics, LLC (“Bridger”) in June 2015, Bridger entered into a ten-year transportation and logistics agreement (the “Jamex TLA”) with Jamex Marketing, LLC (“Jamex”) pursuant to which Jamex would be responsible for certain payments to Bridger and also for sourcing crude oil volumes for Bridger’s largest customer at that time. On September 1, 2016, Bridger, Jamex, Ferrellgas Partners, L.P. and certain other affiliated parties entered into a group of agreements that terminated the Jamex TLA, as summarized below.</w:t>
      </w:r>
    </w:p>
    <w:p>
      <w:pPr>
        <w:spacing w:after="0" w:line="16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 September 1, 2016, we entered into a Secured Promissory Note (the “Jamex Secured Promissory Note”) with Jamex pursuant to which Jamex agreed to pay us a principal amount of $49.5 million plus interest, which principal amount was due over time pursuant to an amortization schedule and with a final maturity date of December 17, 2021. Jamex’s obligations under the Jamex Secured Promissory Note were fully guaranteed by certain subsidiaries and affiliates of Jamex, and were partially guaranteed (up to a maximum of $20 million) by James Ballengee, the individual owner of Jamex, and another entity owned by Mr. Ballengee. The Jamex Secured Promissory Note obligations of Jamex and those other fully guaranteeing entities were secured by certain assets owned by those entities, actively traded marketable securities and cash, which were held in a controlled account and were subject to seizure by us in the event of default.</w:t>
      </w:r>
    </w:p>
    <w:p>
      <w:pPr>
        <w:spacing w:after="0" w:line="16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On June 25, 2018, we and Mr. Ballengee entered into an Omnibus Agreement (the “Omnibus Agreement”) that, among other things, terminated and cancelled the Jamex Secured Promissory Note and other related agreements. In connection with the termination and cancellation of such agreements, (1) Mr. Ballengee and Jamex paid Bridger (then one of our subsidiaries) $17.3 million towards the remaining balance due under the Jamex Secured Promissory Note and Mr. Ballengee executed a new unsecured promissory note in favor of the operating partnership with an original principal amount of $18.3 million (the “Revised Jamex Promissory Note”), (2) Bacchus, a company controlled by Mr. Ballengee, executed a guaranty agreement to guarantee Mr. Ballengee’s obligations under the Revised Jamex Promissory Note, (3) we agreed to dismiss without prejudice certain indemnification claims against Jamex and any affiliates of Jamex related to the Eddystone litigation and to toll the statute of limitations with respect thereto, and to dismiss with prejudice the tortious interference claim asserted by us against Mr. Ballengee related to the Eddystone litigation, and (4) Mr. Ballengee agreed to dismiss with prejudice, or cause to be dismissed, all counterclaims by him or his affiliates, as the case may be, with respect to such actions.</w:t>
      </w:r>
    </w:p>
    <w:p>
      <w:pPr>
        <w:spacing w:after="0" w:line="17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Mr. Ballengee is an individual with various business investments and other personal assets; however, we cannot be sure that we will be able to collect any or all of the amounts owed under the Revised Jamex Promissory Note. We have no control over Mr. Ballengee or his various investments and assets. If we are unable to collect the amounts owed under the Revised Jamex Promissory Note, it could have a material and adverse effect on our cash flows, liquidity and results of operations.</w:t>
      </w:r>
    </w:p>
    <w:p>
      <w:pPr>
        <w:spacing w:after="0" w:line="188" w:lineRule="exact"/>
        <w:rPr>
          <w:sz w:val="20"/>
          <w:szCs w:val="20"/>
          <w:color w:val="auto"/>
        </w:rPr>
      </w:pPr>
    </w:p>
    <w:p>
      <w:pPr>
        <w:jc w:val="both"/>
        <w:ind w:left="60" w:right="499" w:firstLine="648"/>
        <w:spacing w:after="0" w:line="311" w:lineRule="auto"/>
        <w:rPr>
          <w:sz w:val="20"/>
          <w:szCs w:val="20"/>
          <w:color w:val="auto"/>
        </w:rPr>
      </w:pPr>
      <w:r>
        <w:rPr>
          <w:rFonts w:ascii="Arial" w:cs="Arial" w:eastAsia="Arial" w:hAnsi="Arial"/>
          <w:sz w:val="16"/>
          <w:szCs w:val="16"/>
          <w:color w:val="auto"/>
        </w:rPr>
        <w:t>On July 1, 2020, Mr. Ballengee defaulted on the Revised Jamex Promissory Note by failing to make the first payment in the amount of $2.5 million. As a result, as of July 31, 2020, Ferrellgas recorded a bad debt reserve against $17.3 million of the Revised Jamex Promissory Note and is pursuing collections from Mr. Ballengee.</w:t>
      </w:r>
    </w:p>
    <w:p>
      <w:pPr>
        <w:spacing w:after="0" w:line="145"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Risks Inherent in an Investment in our Common Units or our Debt Securities and Other Risks Related to Our Capital Structure and Financing Arrangements</w:t>
      </w:r>
    </w:p>
    <w:p>
      <w:pPr>
        <w:spacing w:after="0" w:line="166"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i w:val="1"/>
          <w:iCs w:val="1"/>
          <w:color w:val="auto"/>
        </w:rPr>
        <w:t>We are currently prohibited from making cash distributions to our unitholders by the terms of the indenture governing the outstanding notes of Ferrellgas Partners and, accordingly, do not anticipate making such cash distributions in the foreseeable future. A variety other factors may limit our ability to pay cash distributions to our unitholders.</w:t>
      </w:r>
    </w:p>
    <w:p>
      <w:pPr>
        <w:spacing w:after="0" w:line="149"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Although the partnership agreements of Ferrellgas Partners and the operating partnership require those entities to distribute all of their “available cash” to the holders of their equity interests, because of restrictions in the indenture governing the outstanding notes of Ferrellgas Partners, we have not paid any cash distributions to our unitholders since the distribution paid in the first quarter of fiscal 2019 for the three months ended July 31, 2018, we are currently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prohibited from paying cash distributions to our unitholders and we do not anticipate making any such cash distributions in the foreseeable future.</w:t>
      </w:r>
    </w:p>
    <w:p>
      <w:pPr>
        <w:spacing w:after="0" w:line="170"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indenture governing Ferrellgas Partners’ unsecured senior notes due June 15, 2020, which remain outstanding, contains a covenant that restricts the ability of Ferrellgas Partners to make certain restricted payments, including distributions on its common units. Under this covenant, subject to the limited exception described below, Ferrellgas Partners may not make a restricted payment unless its consolidated fixed charge coverage ratio (defined in the indenture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July 31, 2020, Ferrellgas Partners’ consolidated fixed charge coverage ratio was 1.40x.</w:t>
      </w:r>
    </w:p>
    <w:p>
      <w:pPr>
        <w:spacing w:after="0" w:line="192"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If the consolidated fixed charge coverage ratio is below 1.75x, Ferrellgas Partners may make restricted payments of up to $50.0 million in total over a sixteen quarter period. As a result of distributions paid to common unitholders in September 2017, December 2017, March 2018, June 2018 and September 2018 while this ratio was less than 1.75x, Ferrellgas Partners has used substantially all of its capacity under the limited exception and therefore is currently restricted by this covenant from making future restricted payments, including distributions to common unitholders. Accordingly, no distributions have been or will be paid to common unitholders for the three months ended July 31, 2020, and the general partner expects that this covenant will continue to prohibit Ferrellgas Partners from making common unit distributions unless and until the Ferrellgas Partners Notes are restructured, refinanced or otherwise satisfied. While there can be no assurance of success, as part of our debt and interest expense reduction strategy, we are presently considering potential solutions to address the past due maturity of the Ferrellgas Partners Notes. The potential solutions include, among others, restructuring, refinancing or a transaction to exchange new notes for some or all of these notes.</w:t>
      </w:r>
    </w:p>
    <w:p>
      <w:pPr>
        <w:spacing w:after="0" w:line="17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Even if Ferrellgas Partners were not prohibited by its indenture from paying cash distributions to unitholders, a variety of other factors may limit its ability to pay such distributions, and we cannot provide any assurance as to when or in what amounts, if any, Ferrellgas will be able to pay such distributions. These other factors include limitations on the ability of the operating partnership to make distributions to Ferrellgas Partners under the terms of the operating partnership’s debt agreements and other factors described more fully in the risk factors below, as well as the actual amounts of our available cash. Available cash is generally all of our cash receipts, less cash disbursements and adjustments for net changes in reserves. The actual amounts of available cash will depend upon numerous factors, including:</w:t>
      </w:r>
    </w:p>
    <w:p>
      <w:pPr>
        <w:spacing w:after="0" w:line="166" w:lineRule="exact"/>
        <w:rPr>
          <w:sz w:val="20"/>
          <w:szCs w:val="20"/>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generated by operations;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in our areas of operation;</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principal and interest payments made on our debt;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acquisitions, including related debt service payments;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contained in debt instruments;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issuances of debt and equity securities;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in reserves made by our general partner in its discretion;</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business and other factors, a number of which are beyond our control.</w:t>
      </w:r>
    </w:p>
    <w:p>
      <w:pPr>
        <w:spacing w:after="0" w:line="225"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Cash distributions are dependent primarily on cash flow, including from reserves and, subject to limitations, working capital borrowings and, as noted above, are subject to restrictive covenants in the indentures governing the outstanding notes of Ferrellgas Partners and the operating partnership. Cash distributions are not dependent on profitability (as defined under financial reporting rules), which is affected by non-cash items. Therefore, cash distributions might be made during periods when we record losses and might not be made during periods when we record profits.</w:t>
      </w:r>
    </w:p>
    <w:p>
      <w:pPr>
        <w:spacing w:after="0" w:line="161" w:lineRule="exact"/>
        <w:rPr>
          <w:sz w:val="20"/>
          <w:szCs w:val="20"/>
          <w:color w:val="auto"/>
        </w:rPr>
      </w:pPr>
    </w:p>
    <w:p>
      <w:pPr>
        <w:ind w:left="60" w:right="379" w:firstLine="648"/>
        <w:spacing w:after="0" w:line="290" w:lineRule="auto"/>
        <w:rPr>
          <w:sz w:val="20"/>
          <w:szCs w:val="20"/>
          <w:color w:val="auto"/>
        </w:rPr>
      </w:pPr>
      <w:r>
        <w:rPr>
          <w:rFonts w:ascii="Arial" w:cs="Arial" w:eastAsia="Arial" w:hAnsi="Arial"/>
          <w:sz w:val="16"/>
          <w:szCs w:val="16"/>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subject to the limited exception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July 31, 2020, the operating partnership’s consolidated fixed charge coverage ratio was 1.70x.</w:t>
      </w:r>
    </w:p>
    <w:p>
      <w:pPr>
        <w:spacing w:after="0" w:line="16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Under the covenants in the indentures governing the operating partnership’s unsecured notes, if the consolidated fixed charge coverage ratio is below 1.75x, the operating partnership may still make restricted payments in limited amounts determined under the indentures governing the operating partnership’s unsecured notes. The distributions made by the operating partnership on June 15, 2019 and December 15, 2019 for payment of interest on Ferrellgas Partners’ unsecured senior notes due June 2020 were made from capacity under this limited exception to the ratio requirement under the indentures governing the operating partnership’s unsecured notes.</w:t>
      </w:r>
    </w:p>
    <w:p>
      <w:pPr>
        <w:spacing w:after="0" w:line="178"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indenture governing the operating partnership’s senior secured first lien notes due 2025 contains a similar but, in some respects,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the operating partnership generally may not make a restricted payment unless the operating partnership’s consolidated leverage ratio (defined in the secured notes indenture generally to mean the ratio of 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the operating partnership’s consolidated fixed coverage ratio is at least 1.75x or below 1.75x. As of July 31, 2020, the operating partnership’s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the operating partnership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the operating partnership’s unsecured notes indentures.</w:t>
      </w:r>
    </w:p>
    <w:p>
      <w:pPr>
        <w:spacing w:after="0" w:line="171"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As described above, Ferrellgas Partners’ unsecured notes due 2020 matured on June 15, 2020, and the outstanding principal amount of those notes was due to be paid on that date, together with accrued interest to the maturity date. Although the operating partnership has some capacity to make distributions under the operating partnership’s unsecured and secured notes indentures, this capacity will not allow the operating partnership to make distributions to Ferrellgas Partners sufficient to pay the principal of and accrued interest on Ferrellgas Partners’ unsecured senior notes due 2020 that was due at the maturity of those notes. Additionally, the restrictions in these indentures currently limit the ability of the operating partnership to make distributions to Ferrellgas Partners to enable it to pay cash distributions to its unitholders.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i w:val="1"/>
          <w:iCs w:val="1"/>
          <w:color w:val="auto"/>
        </w:rPr>
        <w:t>Ferrellgas Partners or the operating partnership may be unable to refinance their past due or other indebtedness at or prior to maturity or pay that indebtedness if it becomes due earlier than scheduled.</w:t>
      </w:r>
    </w:p>
    <w:p>
      <w:pPr>
        <w:spacing w:after="0" w:line="170"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continuity of operations, the realization of assets and the satisfaction of liabilities in the normal course of business. Ferrellgas Partners has $357.0 million in unsecured notes due June 15, 2020, which remain outstanding and are classified as current in the consolidated financial statements. The ability of Ferrellgas Partners to restructure, refinance or otherwise satisfy these notes is uncertain considering the level of other outstanding indebtedness. Recognizing that achieving the elements that would be necessary to effectively restructure or refinance Ferrellgas Partners’ balance sheet is uncertain, our independent auditors have concluded that such uncertainty raises substantial doubt about our ability to continue as going concerns. We have engaged Moelis &amp; Company LLC as our financial advisor and the law firm of Squire Patton Boggs LLP to assist in our ongoing process to reduce existing debt and address our debt maturities. The successful outcome of our debt reduction strategy continues to remain uncertain.</w:t>
      </w:r>
    </w:p>
    <w:p>
      <w:pPr>
        <w:spacing w:after="0" w:line="168"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bankruptcy of Ferrellgas Partners would not constitute an event of default under the operating partnership’s indentures or otherwise accelerate the operating partnership’s notes, even though Ferrellgas Partners has provided a guarantee of the operating partnership’s senior secured notes and has pledged the limited partnership interests in the operating partnership that it holds to secure such note guarantee. The imposition of the automatic stay in a Ferrellgas Partners bankruptcy will prevent the collateral agent from (without relief from the bankruptcy court, which is only granted under certain circumstances) exercising remedies in respect of the pledged limited partnership interests during the pendency of the bankruptcy. In such a bankruptcy, as discussed further below, the holders of the operating partnership’s secured notes would be entitled to only a secured claim in the amount of the value of the pledged limited partnership interests, which is likely to be minimal, and an unsecured deficiency claim for the value of the excess of the guarantee claim’s principal amount. However, in a bankruptcy of Ferrellgas Partners, a discharge of Ferrellgas Partners’ note guarantee or the confirmation of a plan of reorganization free and clear of Ferrellgas Partners’ note guarantee would result in an event of default that would permit the holders to accelerate the operating partnership’s secured notes (which would, in turn, permit the holders of the operating partnership’s unsecured notes to accelerate such unsecured notes), except in the case of a plan of reorganization of Ferrellgas Partners that is accepted by the requisite percentage of holders of such secured notes (in amount and number) as required for class acceptance under the U.S. bankruptcy code.</w:t>
      </w:r>
    </w:p>
    <w:p>
      <w:pPr>
        <w:spacing w:after="0" w:line="16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If Ferrellgas Partners or the operating partnership is unable to meet its debt service obligations or other financial obligations, they could be forced to:</w:t>
      </w:r>
    </w:p>
    <w:p>
      <w:pPr>
        <w:spacing w:after="0" w:line="170" w:lineRule="exact"/>
        <w:rPr>
          <w:sz w:val="20"/>
          <w:szCs w:val="20"/>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restructure or refinance their indebtedness;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other necessary financial transactions;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once distributions are permitted, reduce or suspend Ferrellgas Partners’ distributions;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additional equity capital;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their assets.</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They may then be unable to obtain such financing or capital or sell their assets on satisfactory terms, if at all. Their failure to make payments, whether after acceleration of the due date of that indebtedness or otherwise, or our failure to refinance the indebtedness would impair their operating capacity and cash flows.</w:t>
      </w:r>
    </w:p>
    <w:p>
      <w:pPr>
        <w:spacing w:after="0" w:line="15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operating partnership has utilized substantially all of its capacity and the capacity of its subsidiaries to incur secured indebtedness (other than certain refinancing indebtedness) that was available under the indentures governing the Ferrellgas Partners Notes and the operating partnership’s notes. Consequently, our ability to raise additional secured debt as part of a restructuring is significantly limited. Moreover, we do not have a revolving credit facility as part of our capital structure and, as a consequence, we are required to satisfy working capital needs through cash on our balance sheet, cash flows from operations and our accounts receivable securitization facility. See “—The availability of cash from our accounts receivable securitization facility may be affected by many factors, some of which are beyond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control,” “—Our ability to meet financial ratio requirements under our accounts receivable securitization facility may be affected by many factors, some of which are beyond our control, and any failure to meet such requirements could result in loss of our access to or termination of that facility” and “—If we are unable to access the financing markets, including through our accounts receivable securitization facility, it may adversely impact our business and liquidity.”</w:t>
      </w:r>
    </w:p>
    <w:p>
      <w:pPr>
        <w:spacing w:after="0" w:line="14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The availability of cash from our accounts receivable securitization facility may be affected by many factors, some of which are beyond our control.</w:t>
      </w:r>
    </w:p>
    <w:p>
      <w:pPr>
        <w:spacing w:after="0" w:line="130"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We typically sell accounts receivable under our accounts receivable securitization facility to fund our working capital requirements and we no longer have a traditional secured credit facility to fund working capital requirements. We also issued letters of credit of $50.0 million by utilizing our liquidity available on the accounts receivable securitization facility. We purchase product from suppliers and make payments with terms that are typically within five to ten days of delivery. If we were to experience an unexpected significant increase in these requirements or have insufficient funds to fund operations, our needs could exceed our immediately available resources. Events that could cause increases in these requirements include, but are not limited to the following:</w:t>
      </w:r>
    </w:p>
    <w:p>
      <w:pPr>
        <w:spacing w:after="0" w:line="137" w:lineRule="exact"/>
        <w:rPr>
          <w:sz w:val="20"/>
          <w:szCs w:val="20"/>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increase in the wholesale cost of propane;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reduction in the production of crude oil;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delay in the collections of accounts and notes receivable;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volatility in energy commodity prices related to risk management activities;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liquidity requirements imposed by insurance providers;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downgrade in our credit rating leading to decreased trade credit;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capital expenditure requirements;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acquisition;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large uninsured unfavorable lawsuit result or settlement.</w:t>
      </w:r>
    </w:p>
    <w:p>
      <w:pPr>
        <w:spacing w:after="0" w:line="225"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In addition, vendors may require additional collateral or limit credit to our operations given our capital structure, which will impose additional constraints and demands on our capital resources and limit our operational and financial flexibility. Our ability to enter leasing transactions at favorable terms could also be impacted.</w:t>
      </w:r>
    </w:p>
    <w:p>
      <w:pPr>
        <w:spacing w:after="0" w:line="16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As is typical in the propane industry, our retail customers do not pay upon receipt, but generally pay between 30 and 60 days after delivery. During the winter heating season, we experience significant increases in accounts receivable and inventory levels and thus a significant decline in working capital availability. Although we have the ability to fund working capital with sales of accounts receivable under our accounts receivable securitization facility, we cannot predict the effect that increases in propane prices and colder-than-normal winter weather may have on future working capital availability.</w:t>
      </w:r>
    </w:p>
    <w:p>
      <w:pPr>
        <w:spacing w:after="0" w:line="161"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i w:val="1"/>
          <w:iCs w:val="1"/>
          <w:color w:val="auto"/>
        </w:rPr>
        <w:t>Our ability to meet financial ratio requirements under our accounts receivable securitization facility may be affected by many factors, some of which are beyond our control, and any failure to meet such requirements could result in loss of our access to or termination of that facility.</w:t>
      </w:r>
    </w:p>
    <w:p>
      <w:pPr>
        <w:spacing w:after="0" w:line="15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ability to satisfy financial ratio requirements under our accounts receivable securitization facility may be affected by events beyond our control. A breach of any of these financial ratios could result in a default under our accounts receivable securitization facility. See “—Restrictive covenants in the agreements governing our indebtedness and other financial obligations, including our accounts receivable securitization facility, may reduce our operating flexibility.”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agreement governing our accounts receivable securitization facility requires us to maintain at least a fixed charge coverage ratio of not less than 1.00 to 1.00 and a secured leverage ratio of not greater than 3.00 to 1.00. If at any time we are not in compliance with these financial maintenance covenants or are otherwise in default under the agreement governing our accounts receivable securitization facility, we will be unable to access that facility for working capital or other cash requirements and the facility may be terminated.</w:t>
      </w:r>
    </w:p>
    <w:p>
      <w:pPr>
        <w:spacing w:after="0" w:line="161"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i w:val="1"/>
          <w:iCs w:val="1"/>
          <w:color w:val="auto"/>
        </w:rPr>
        <w:t>In connection with our senior secured notes offering in April 2020, we terminated our Senior Secured Credit Facility, including the letter of credit sub-facility thereunder, and were required to cash-collateralize our letters of credit outstanding thereunder and make an $11.5 million cash deposit with the administrative agent under that facility. Our inability to access and employ the cash that collateralizes our outstanding and future letters of credit or the $11.5 million cash deposit held by the administrative agent under our terminated Senior Secured Credit Facility may impact our liquidity.</w:t>
      </w:r>
    </w:p>
    <w:p>
      <w:pPr>
        <w:spacing w:after="0" w:line="15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 connection with the closing of our senior secured notes offering in April 2020, we terminated our Senior Secured Credit Facility, including the letter of credit sub-facility thereunder. We do not have in place a credit facility providing for the issuance of letters of credit, and we were required to provide cash collateral to secure all of the letters of credit outstanding under our terminated Senior Secured Credit Facility. Additionally, in connection with the repayment and termination of our Senior Secured Credit Facility, we were required to make an $11.5 million cash deposit with the administrative agent under that facility. As of July 31, 2020, we had $95.8 million of restricted cash, which includes $78.2 million of pledged cash collateral for letters of credit outstanding, an $11.5 million cash deposit made with the administrative agent under the terminated Senior Secured Credit Facility, and $6.1 million of additional pledged collateral. Due to restrictions on the incurrence of indebtedness under the indentures governing our outstanding notes, we expect that, for the foreseeable future, we will continue to be required to cash collateralize all of our existing and future letters of credit. Our inability to access and employ the cash that collateralizes our outstanding and future letters of credit or the $11.5 million cash deposit held by the administrative agent under our terminated Senior Secured Credit Facility may impact our liquidity.</w:t>
      </w:r>
    </w:p>
    <w:p>
      <w:pPr>
        <w:spacing w:after="0" w:line="14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i w:val="1"/>
          <w:iCs w:val="1"/>
          <w:color w:val="auto"/>
        </w:rPr>
        <w:t>Our substantial indebtedness and other financial obligations could impair our financial condition and our ability to satisfy our obligations.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substantial indebtedness and other financial obligations. As of July 31, 2020, we had:</w:t>
      </w:r>
    </w:p>
    <w:p>
      <w:pPr>
        <w:spacing w:after="0" w:line="225" w:lineRule="exact"/>
        <w:rPr>
          <w:sz w:val="20"/>
          <w:szCs w:val="20"/>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indebtedness and other liabilities of approximately $2.5 billion;</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partners’ deficit of approximately $1.2 billion;</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potential availability under our accounts receivable securitization facility of approximately $11.0 million;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aggregate future minimum rental commitments under non-cancelable leases of approximately $201.5 million.</w:t>
      </w:r>
    </w:p>
    <w:p>
      <w:pPr>
        <w:spacing w:after="0" w:line="248"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We have long and short-term payment obligations with maturity dates ranging from fiscal 2020 to 2029 that bear interest at rates ranging from 6.5% to 10.7%. As of July 31, 2020, the long-term obligations do not contain any sinking fund provisions but do require the following aggregate principal payments, without premium, during the following fiscal years:</w:t>
      </w:r>
    </w:p>
    <w:p>
      <w:pPr>
        <w:spacing w:after="0" w:line="187" w:lineRule="exact"/>
        <w:rPr>
          <w:sz w:val="20"/>
          <w:szCs w:val="20"/>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$502.1 million – 2021;</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$476.4 million - 2022;</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$501.0 million - 2023;</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 million - 2024;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$700.2 million – 2025;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 thousand - thereafter.</w:t>
      </w:r>
    </w:p>
    <w:p>
      <w:pPr>
        <w:spacing w:after="0" w:line="225"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All of the indebtedness and other obligations described above are obligations of the operating partnership and do not include the Ferrellgas Partners Notes, which matured on June 15, 2020 but have not yet been repaid. See “Management’s Discussion and Analysis of Financial Condition and Results of Operations —Recent Developments — Forbearance Agreement with respect to Ferrellgas Partners’ 8.625% Unsecured Senior Notes due June 15, 2020” for additional discussion on the Ferrellgas Partners Notes. Also see “—Risks Related to our Business and Industry —There is substantial doubt about our ability to continue as a going concern, which will affect our ability to obtain future financing and may require us to curtail our operations” and “—Ferrellgas Partners or the operating partnership may be unable to refinance its indebtedness at or prior to maturity or pay that indebtedness if it becomes due earlier than scheduled.”</w:t>
      </w:r>
    </w:p>
    <w:p>
      <w:pPr>
        <w:spacing w:after="0" w:line="16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Subject to the restrictions in the agreements governing the operating partnership’s indebtedness and other financial obligations and the indenture governing the Ferrellgas Partners Notes, we may incur significant additional indebtedness and other financial obligations from time to time, which may be secured and/or structurally senior to our existing notes, in order to finance working capital, capital expenditures, investments, acquisitions or for other purposes. If we do so, the risks related to our high level of indebtedness could intensify.</w:t>
      </w:r>
    </w:p>
    <w:p>
      <w:pPr>
        <w:spacing w:after="0" w:line="188"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Our substantial indebtedness and other financial obligations, including our past due Ferrellgas Partners Notes and our upcoming debt maturities, could have important consequences to our security holders. For example, it could:</w:t>
      </w:r>
    </w:p>
    <w:p>
      <w:pPr>
        <w:spacing w:after="0" w:line="124" w:lineRule="exact"/>
        <w:rPr>
          <w:sz w:val="20"/>
          <w:szCs w:val="20"/>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securities;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25" w:lineRule="exact"/>
        <w:rPr>
          <w:rFonts w:ascii="Arial" w:cs="Arial" w:eastAsia="Arial" w:hAnsi="Arial"/>
          <w:sz w:val="18"/>
          <w:szCs w:val="18"/>
          <w:color w:val="auto"/>
        </w:rPr>
      </w:pPr>
    </w:p>
    <w:p>
      <w:pPr>
        <w:ind w:left="1020" w:right="63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working capital, capital expenditures, acquisitions, general corporate purposes or other purposes;</w:t>
      </w:r>
    </w:p>
    <w:p>
      <w:pPr>
        <w:spacing w:after="0" w:line="170"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 in higher interest expense in the event of increases in interest rates since some of our debt is, and will continue to be, at variable rates of interest;</w:t>
      </w:r>
    </w:p>
    <w:p>
      <w:pPr>
        <w:spacing w:after="0" w:line="170" w:lineRule="exact"/>
        <w:rPr>
          <w:rFonts w:ascii="Arial" w:cs="Arial" w:eastAsia="Arial" w:hAnsi="Arial"/>
          <w:sz w:val="18"/>
          <w:szCs w:val="18"/>
          <w:color w:val="auto"/>
        </w:rPr>
      </w:pPr>
    </w:p>
    <w:p>
      <w:pPr>
        <w:ind w:left="1020" w:right="239" w:hanging="322"/>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impair our operating capacity and cash flows if we fail to comply with financial and restrictive covenants in our debt agreements and an event of default occurs as a result of that failure that is not cured or waived;</w:t>
      </w:r>
    </w:p>
    <w:p>
      <w:pPr>
        <w:spacing w:after="0" w:line="123" w:lineRule="exact"/>
        <w:rPr>
          <w:rFonts w:ascii="Arial" w:cs="Arial" w:eastAsia="Arial" w:hAnsi="Arial"/>
          <w:sz w:val="16"/>
          <w:szCs w:val="16"/>
          <w:color w:val="auto"/>
        </w:rPr>
      </w:pPr>
    </w:p>
    <w:p>
      <w:pPr>
        <w:ind w:left="1020" w:right="419" w:hanging="322"/>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indebtedness and other financial obligations, including issuing letters of credit and posting cash collateral, thereby reducing the availability of our cash flow to fund distributions, working capital, capital expenditures and other general corporate purposes;</w:t>
      </w:r>
    </w:p>
    <w:p>
      <w:pPr>
        <w:spacing w:after="0" w:line="186"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25" w:lineRule="exact"/>
        <w:rPr>
          <w:rFonts w:ascii="Arial" w:cs="Arial" w:eastAsia="Arial" w:hAnsi="Arial"/>
          <w:sz w:val="18"/>
          <w:szCs w:val="18"/>
          <w:color w:val="auto"/>
        </w:rPr>
      </w:pPr>
    </w:p>
    <w:p>
      <w:pPr>
        <w:ind w:left="1020" w:right="53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including, but not limited to, the divestiture or acquisition of assets;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place us at a competitive disadvantage compared to our competitors that have proportionately less debt.</w:t>
      </w:r>
    </w:p>
    <w:p>
      <w:pPr>
        <w:spacing w:after="0" w:line="237" w:lineRule="exact"/>
        <w:rPr>
          <w:sz w:val="20"/>
          <w:szCs w:val="20"/>
          <w:color w:val="auto"/>
        </w:rPr>
      </w:pPr>
    </w:p>
    <w:p>
      <w:pPr>
        <w:jc w:val="both"/>
        <w:ind w:left="60" w:right="339" w:firstLine="598"/>
        <w:spacing w:after="0" w:line="311" w:lineRule="auto"/>
        <w:rPr>
          <w:sz w:val="20"/>
          <w:szCs w:val="20"/>
          <w:color w:val="auto"/>
        </w:rPr>
      </w:pPr>
      <w:r>
        <w:rPr>
          <w:rFonts w:ascii="Arial" w:cs="Arial" w:eastAsia="Arial" w:hAnsi="Arial"/>
          <w:sz w:val="16"/>
          <w:szCs w:val="16"/>
          <w:color w:val="auto"/>
        </w:rPr>
        <w:t>The indentures governing the Ferrellgas Partners Notes and the operating partnership’s notes and the agreement governing our accounts receivable securitization facility contain restrictive covenants that limit our ability to engage in activities that may be in our long term best interest. Our failure to comply with those covenants could result in an event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of default which, if not cured or waived, could result in the acceleration of all of our debt. Additionally, certain restrictive covenants will go into effect upon certain defaults or events of default or acceleration of our indebtedness and further limit our ability to incur or refinance debt or liens. See “—Risks Related to our Business and Industry—There is substantial doubt about our ability to continue as a going concern, which will affect our ability to obtain future financing and may require us to curtail our operations.”</w:t>
      </w:r>
    </w:p>
    <w:p>
      <w:pPr>
        <w:spacing w:after="0" w:line="188"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70" w:lineRule="exact"/>
        <w:rPr>
          <w:sz w:val="20"/>
          <w:szCs w:val="20"/>
          <w:color w:val="auto"/>
        </w:rPr>
      </w:pPr>
    </w:p>
    <w:p>
      <w:pPr>
        <w:jc w:val="both"/>
        <w:ind w:left="60" w:right="219" w:firstLine="598"/>
        <w:spacing w:after="0" w:line="301" w:lineRule="auto"/>
        <w:rPr>
          <w:sz w:val="20"/>
          <w:szCs w:val="20"/>
          <w:color w:val="auto"/>
        </w:rPr>
      </w:pPr>
      <w:r>
        <w:rPr>
          <w:rFonts w:ascii="Arial" w:cs="Arial" w:eastAsia="Arial" w:hAnsi="Arial"/>
          <w:sz w:val="16"/>
          <w:szCs w:val="16"/>
          <w:color w:val="auto"/>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spacing w:after="0" w:line="157" w:lineRule="exact"/>
        <w:rPr>
          <w:sz w:val="20"/>
          <w:szCs w:val="20"/>
          <w:color w:val="auto"/>
        </w:rPr>
      </w:pPr>
    </w:p>
    <w:p>
      <w:pPr>
        <w:ind w:left="60" w:right="139" w:firstLine="598"/>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Our ability to enter leasing transactions at favorable terms could also be impacted. The indentures governing the Ferrellgas Partners Notes and the operating partnership’s notes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185" w:lineRule="exact"/>
        <w:rPr>
          <w:sz w:val="20"/>
          <w:szCs w:val="20"/>
          <w:color w:val="auto"/>
        </w:rPr>
      </w:pPr>
    </w:p>
    <w:p>
      <w:pPr>
        <w:ind w:left="60" w:right="79" w:firstLine="598"/>
        <w:spacing w:after="0" w:line="286" w:lineRule="auto"/>
        <w:rPr>
          <w:sz w:val="20"/>
          <w:szCs w:val="20"/>
          <w:color w:val="auto"/>
        </w:rPr>
      </w:pPr>
      <w:r>
        <w:rPr>
          <w:rFonts w:ascii="Arial" w:cs="Arial" w:eastAsia="Arial" w:hAnsi="Arial"/>
          <w:sz w:val="16"/>
          <w:szCs w:val="16"/>
          <w:color w:val="auto"/>
        </w:rPr>
        <w:t>In addition, although our operations are currently conducted primarily through the operating partnership and not through its subsidiaries, in the future we could conduct a substantial portion of our operations through the operating partnership’s subsidiaries, some of which are not guarantors under certain series of our notes and other indebtedness. If that were to occur, repayment of the operating partnership’s indebtedness could become dependent on the generation of cash flow by its subsidiaries and their ability to make such cash available to the operating partnership, by dividend, debt repayment or otherwise. Unless they are guarantors of that series of the operating partnership’s notes or other indebtedness, those subsidiaries do not and will not have any obligation to pay amounts due on such series of the operating partnership’s notes or other indebtedness or to make funds available for that purpose. The operating partnership’s subsidiaries may not be able to, or may not be permitted to, make distributions to enable the operating partnership to make payments in respect of its indebtedness. Each subsidiary is a distinct legal entity, and, under certain circumstances, legal and contractual restrictions may limit the operating partnership’s ability to obtain cash from its subsidiaries. Although the indentures governing the Ferrellgas Partners Notes and the operating partnership’s notes limit the ability of our subsidiaries to incur consensual restrictions on their ability to pay dividends or make other intercompany payments, these limitations are subject to qualifications and exceptions. In the event that we do not receive distributions from our subsidiaries, we may be unable to make required principal and interest payments on our indebtedness.</w:t>
      </w:r>
    </w:p>
    <w:p>
      <w:pPr>
        <w:spacing w:after="0" w:line="167" w:lineRule="exact"/>
        <w:rPr>
          <w:sz w:val="20"/>
          <w:szCs w:val="20"/>
          <w:color w:val="auto"/>
        </w:rPr>
      </w:pPr>
    </w:p>
    <w:p>
      <w:pPr>
        <w:ind w:left="60" w:right="99" w:firstLine="598"/>
        <w:spacing w:after="0" w:line="273"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indebtedness. See also “—Risks Related to our Business and Industry—The reorganization of Ferrellgas Partners or other actions that may be required to address the Ferrellgas Partners Notes that were due June 15, 2020 but remain outstanding and the upcoming maturities of the operating partnership’s notes may have an adverse impact on us and our operations.”</w:t>
      </w:r>
    </w:p>
    <w:p>
      <w:pPr>
        <w:spacing w:after="0" w:line="178" w:lineRule="exact"/>
        <w:rPr>
          <w:sz w:val="20"/>
          <w:szCs w:val="20"/>
          <w:color w:val="auto"/>
        </w:rPr>
      </w:pPr>
    </w:p>
    <w:p>
      <w:pPr>
        <w:ind w:left="60" w:right="319" w:firstLine="598"/>
        <w:spacing w:after="0" w:line="308" w:lineRule="auto"/>
        <w:rPr>
          <w:sz w:val="20"/>
          <w:szCs w:val="20"/>
          <w:color w:val="auto"/>
        </w:rPr>
      </w:pPr>
      <w:r>
        <w:rPr>
          <w:rFonts w:ascii="Arial" w:cs="Arial" w:eastAsia="Arial" w:hAnsi="Arial"/>
          <w:sz w:val="17"/>
          <w:szCs w:val="17"/>
          <w:color w:val="auto"/>
        </w:rPr>
        <w:t>If we cannot make scheduled payments on our debt, we will be in default and holders of our notes could declare their respective notes to be due and payable and we could be forced into bankruptcy or liquidation.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598"/>
        <w:spacing w:after="0" w:line="263" w:lineRule="auto"/>
        <w:rPr>
          <w:sz w:val="20"/>
          <w:szCs w:val="20"/>
          <w:color w:val="auto"/>
        </w:rPr>
      </w:pPr>
      <w:r>
        <w:rPr>
          <w:rFonts w:ascii="Arial" w:cs="Arial" w:eastAsia="Arial" w:hAnsi="Arial"/>
          <w:sz w:val="18"/>
          <w:szCs w:val="18"/>
          <w:color w:val="auto"/>
        </w:rPr>
        <w:t>We do not have a traditional revolver or senior credit facility. Accordingly, subject to limited ability to incur additional indebtedness, we will be required to satisfy working capital needs through cash on our balance sheet, cash flows from operations and our accounts receivable securitization.</w:t>
      </w:r>
    </w:p>
    <w:p>
      <w:pPr>
        <w:spacing w:after="0" w:line="184"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i w:val="1"/>
          <w:iCs w:val="1"/>
          <w:color w:val="auto"/>
        </w:rPr>
        <w:t>Restrictive covenants in the agreements governing our indebtedness and other financial obligations, including our accounts receivable securitization facility, may reduce our operating flexibility.</w:t>
      </w:r>
    </w:p>
    <w:p>
      <w:pPr>
        <w:spacing w:after="0" w:line="170" w:lineRule="exact"/>
        <w:rPr>
          <w:sz w:val="20"/>
          <w:szCs w:val="20"/>
          <w:color w:val="auto"/>
        </w:rPr>
      </w:pPr>
    </w:p>
    <w:p>
      <w:pPr>
        <w:ind w:left="60" w:right="279" w:firstLine="598"/>
        <w:spacing w:after="0" w:line="279" w:lineRule="auto"/>
        <w:rPr>
          <w:sz w:val="20"/>
          <w:szCs w:val="20"/>
          <w:color w:val="auto"/>
        </w:rPr>
      </w:pPr>
      <w:r>
        <w:rPr>
          <w:rFonts w:ascii="Arial" w:cs="Arial" w:eastAsia="Arial" w:hAnsi="Arial"/>
          <w:sz w:val="17"/>
          <w:szCs w:val="17"/>
          <w:color w:val="auto"/>
        </w:rPr>
        <w:t>The indenture governing the Ferrellgas Partners Notes and the agreements governing the operating partnership’s indebtedness and other financial obligations contain, and any indenture or other agreement that will govern indebtedness incurred by Ferrellgas Partners or the operating partnership in the future may contain, various covenants that limit our ability and the ability of specified subsidiaries of ours to, among other things:</w:t>
      </w:r>
    </w:p>
    <w:p>
      <w:pPr>
        <w:spacing w:after="0" w:line="171" w:lineRule="exact"/>
        <w:rPr>
          <w:sz w:val="20"/>
          <w:szCs w:val="20"/>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1020" w:right="25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make other distributions, repurchase or redeem our units or other equity interests, or make other restricted payments;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certain preferred stock or similar equity securities;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restricting the ability of our subsidiaries to pay dividends or distributions, make loans, incur guarantees, or transfer assets or interests in assets;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other lines of business.</w:t>
      </w:r>
    </w:p>
    <w:p>
      <w:pPr>
        <w:spacing w:after="0" w:line="22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Certain of the agreements governing the operating partnership’s indebtedness impose additional restrictions after the occurrence and during the continuance of certain events of default.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These restrictions could limit the ability of Ferrellgas Partners, the operating partnership and our other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future financings;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conduct operations, compete effectively or otherwise take advantage of business opportunities that may arise.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agreement governing our accounts receivable securitization facility requires, and some of the agreements governing our future indebtedness and other financial obligations may also require, the maintenance of specified financial ratios and the satisfaction of other financial conditions. Our ability to meet those financial ratios and conditions can be affected by unexpected downturns in business operations beyond our control, such as significantly warmer-than-normal weather, a volatile energy commodity cost environment, deterioration in credit quality of key business partners, or an economic downturn. Accordingly, we may be unable to meet these ratios and conditions. This failure could impair our operating capacity and cash flows and could restrict our ability to incur debt or to make cash distributions, even if sufficient funds were available. See “—The availability of cash from our accounts receivable securitization facility may be affected by many factors, some of which are beyond our control,” “—Our ability to meet financial ratio requirements under our accounts receivable securitization facility may be affected by many factors, some of which are beyond our control, and any failure to meet such requirements could result in loss of our access to or termination of that facility” and “—If we are unable to access the financing markets, including through our accounts receivable securitization facility, it may adversely impact our business and liquidity.”</w:t>
      </w:r>
    </w:p>
    <w:p>
      <w:pPr>
        <w:spacing w:after="0" w:line="18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breach of any of these covenants or the operating partnership’s failure to meet any of these ratios or conditions could result in a default under the terms of the relevant indebtedness, which could cause such indebtedness or other financial obligations and, by reason of any cross-default provisions that may exist, any of Ferrellgas Partners’ or the operating partnership’s other existing or future debt, to become immediately due and payable. If we were unable to repay those amounts, the holders of such debt could initiate a bankruptcy proceeding or liquidation proceeding or, in the case of secured debt, proceed against their collateral in accordance with state law and the rights granted under the relevant debt agreements. If our lenders or noteholders accelerate the repayment of borrowings or other amounts owed, we may not have sufficient assets to repay our indebtedness or other financial obligations, including our outstanding notes and any future debt obligations.</w:t>
      </w:r>
    </w:p>
    <w:p>
      <w:pPr>
        <w:spacing w:after="0" w:line="181" w:lineRule="exact"/>
        <w:rPr>
          <w:sz w:val="20"/>
          <w:szCs w:val="20"/>
          <w:color w:val="auto"/>
        </w:rPr>
      </w:pPr>
    </w:p>
    <w:p>
      <w:pPr>
        <w:ind w:left="60" w:right="619"/>
        <w:spacing w:after="0" w:line="263" w:lineRule="auto"/>
        <w:rPr>
          <w:sz w:val="20"/>
          <w:szCs w:val="20"/>
          <w:color w:val="auto"/>
        </w:rPr>
      </w:pPr>
      <w:r>
        <w:rPr>
          <w:rFonts w:ascii="Arial" w:cs="Arial" w:eastAsia="Arial" w:hAnsi="Arial"/>
          <w:sz w:val="18"/>
          <w:szCs w:val="18"/>
          <w:i w:val="1"/>
          <w:iCs w:val="1"/>
          <w:color w:val="auto"/>
        </w:rPr>
        <w:t>The agreements governing the indebtedness of Ferrellgas Partners and the operating partnership contain important exceptions to the covenants, including the covenants that restrict our ability to sell assets, and we may utilize such exceptions.</w:t>
      </w:r>
    </w:p>
    <w:p>
      <w:pPr>
        <w:spacing w:after="0" w:line="18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indentures governing the operating partnership’s notes and the Ferrellgas Partners Notes contain important exceptions to the covenants, including the covenants that restrict our ability to sell assets and make restricted payments. The indentures governing the operating partnership’s notes permit it to make certain limited restricted payments to Ferrellgas Partners in order to repay a limited amount of the Ferrellgas Partners Notes. We may utilize exceptions to sell assets as part of a restructuring and such asset sales may be on unfavorable terms. Furthermore, we also may use other exceptions to the covenants in our debt agreements to develop a comprehensive strategy for restructuring the indebtedness of Ferrellgas Partners and the operating partnership and its subsidiaries. See “—Risks Related to our Business and Industry —The reorganization of Ferrellgas Partners or other actions that may be required to address the Ferrellgas Partners Notes that were due June 15, 2020 but remain outstanding and the upcoming maturities of the operating partnership’s notes may have an adverse impact on us and our operations.”</w:t>
      </w:r>
    </w:p>
    <w:p>
      <w:pPr>
        <w:spacing w:after="0" w:line="185" w:lineRule="exact"/>
        <w:rPr>
          <w:sz w:val="20"/>
          <w:szCs w:val="20"/>
          <w:color w:val="auto"/>
        </w:rPr>
      </w:pPr>
    </w:p>
    <w:p>
      <w:pPr>
        <w:jc w:val="both"/>
        <w:ind w:left="60" w:right="219"/>
        <w:spacing w:after="0" w:line="286" w:lineRule="auto"/>
        <w:rPr>
          <w:sz w:val="20"/>
          <w:szCs w:val="20"/>
          <w:color w:val="auto"/>
        </w:rPr>
      </w:pPr>
      <w:r>
        <w:rPr>
          <w:rFonts w:ascii="Arial" w:cs="Arial" w:eastAsia="Arial" w:hAnsi="Arial"/>
          <w:sz w:val="17"/>
          <w:szCs w:val="17"/>
          <w:i w:val="1"/>
          <w:iCs w:val="1"/>
          <w:color w:val="auto"/>
        </w:rPr>
        <w:t>Disruptions in the capital and credit markets, including the availability and cost of debt and equity issuances for liquidity requirements, may adversely affect our ability to meet long-term commitments and our ability to hedge effectively, any of which could adversely affect our results of operations, cash flows and financial condition.</w:t>
      </w:r>
    </w:p>
    <w:p>
      <w:pPr>
        <w:spacing w:after="0" w:line="16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We rely on our ability to access the capital and credit markets at rates and on terms reasonable to us. A disruption in the capital and credit markets could impair our ability to access capital and credit markets at rates and terms acceptable to us or at all. This could limit our ability to fund working capital needs, engage in risk management activities, refinance long-term debt at or in advance of maturities or could force us to access capital and credit markets at rates or terms normally considered to be unreasonable or force us to take other aggressive actions, including continued suspension of our quarterly distributions, sales of assets or a restructuring on unfavorable terms.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i w:val="1"/>
          <w:iCs w:val="1"/>
          <w:color w:val="auto"/>
        </w:rPr>
        <w:t>Ferrellgas Partners and the operating partnership are required to distribute all of their available cash to their equity holders and Ferrellgas Partners and the operating partnership are not required to accumulate cash for the purpose of meeting their future obligations to holders of their debt securities, which may limit the cash available to service those debt securities.</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Subject to the limitations on restricted payments and other covenants contained in the agreements governing the existing and future indebtedness of Ferrellgas Partners and the operating partnership, the partnership agreements of both Ferrellgas Partners and the operating partnership require us to distribute all of our available cash each fiscal quarter to our limited partners and our general partner and do not require us to accumulate cash for the purpose of meeting obligations to holders of any debt securities of Ferrellgas Partners or the operating partnership. Available cash is generally all of our cash receipts, less cash disbursements and adjustments for net changes in reserves. As a result of these distribution requirements, we do not expect either Ferrellgas Partners or the operating partnership to accumulate significant amounts of cash. Depending on the timing and amount of our cash distributions and because we are not required to accumulate cash for the purpose of meeting obligations to holders of any debt securities of Ferrellgas Partners or the operating partnership, such distributions could significantly reduce the cash available to us in subsequent periods to make payments on any debt securities of Ferrellgas Partners or the operating partnership.</w:t>
      </w:r>
    </w:p>
    <w:p>
      <w:pPr>
        <w:spacing w:after="0" w:line="182"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i w:val="1"/>
          <w:iCs w:val="1"/>
          <w:color w:val="auto"/>
        </w:rPr>
        <w:t>The Ferrellgas Partners Notes are structurally subordinated to all indebtedness and other liabilities of the operating partnership and its subsidiaries.</w:t>
      </w:r>
    </w:p>
    <w:p>
      <w:pPr>
        <w:spacing w:after="0" w:line="170"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Ferrellgas Partners Notes are structurally subordinated to all existing and future claims of creditors of the operating partnership and its subsidiaries, including claims of:</w:t>
      </w:r>
    </w:p>
    <w:p>
      <w:pPr>
        <w:spacing w:after="0" w:line="170" w:lineRule="exact"/>
        <w:rPr>
          <w:sz w:val="20"/>
          <w:szCs w:val="20"/>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the operating partnership’s indebtedness;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lessors under the operating partnership’s operating leases;</w:t>
      </w:r>
    </w:p>
    <w:p>
      <w:pPr>
        <w:spacing w:after="0" w:line="225" w:lineRule="exact"/>
        <w:rPr>
          <w:rFonts w:ascii="Arial" w:cs="Arial" w:eastAsia="Arial" w:hAnsi="Arial"/>
          <w:sz w:val="18"/>
          <w:szCs w:val="18"/>
          <w:color w:val="auto"/>
        </w:rPr>
      </w:pPr>
    </w:p>
    <w:p>
      <w:pPr>
        <w:ind w:left="1020" w:right="35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lenders and their affiliates under the operating partnership’s accounts receivable securitization facility;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and other creditors of the operating partnership and its subsidiaries.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This structural subordination is due to the fact that the operating partnership and its subsidiaries are not guarantors or co-obligors of the Ferrellgas Partners Notes, and the obligations of Ferrellgas Partners under the Ferrellgas Partners Notes are non-recourse to the operating partnership and its subsidiaries and their respective assets. Accordingly, holders of the Ferrellgas Partners Notes have a claim as a creditor only against Ferrellgas Partners, and Ferrellgas Partners’ claim against the operating partnership and its subsidiaries is only as an equity holder in the operating partnership. As a result, upon any distribution in a bankruptcy, liquidation, reorganization or similar proceeding relating to Ferrellgas Partners or its property, the creditors of the operating partnership and its subsidiaries will be entitled to be paid in full before any payment may be made with respect to the Ferrellgas Partners Notes. Thereafter, holders of the Ferrellgas Partners Notes would share ratably in the remaining assets, if any, with any other creditors of Ferrellgas Partners, including its trade creditors and all other holders of its indebtedness. In any of these cases, Ferrellgas Partners may have insufficient funds to pay all of its creditors, and holders of the Ferrellgas Partners Notes may therefore receive, if anything, less, ratably, than creditors of the operating partnership and its subsidiaries. As of July 31, 2020, the operating partnership had approximately $2.5 billion of outstanding indebtedness and other liabilities to which the Ferrellgas Partners Notes structurally rank junior.</w:t>
      </w:r>
    </w:p>
    <w:p>
      <w:pPr>
        <w:spacing w:after="0" w:line="174"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Ferrellgas Partners or the operating partnership may be unable to repurchase their notes upon a change of control, and it may be difficult to determine whether a change of control has occurred.</w:t>
      </w:r>
    </w:p>
    <w:p>
      <w:pPr>
        <w:spacing w:after="0" w:line="170"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Upon the occurrence of a “change of control” under the indentures governing the notes of Ferrellgas Partners or the operating partnership, the applicable issuer or a third party will be required under the terms of the applicable indenture to make a change of control offer to repurchase the notes at 101% of their principal amount, plus accrued and unpaid interest. The applicable issuer may not have the financial resources to purchase its notes in that circumstance,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particularly if a change of control event triggers a similar repurchase requirement for, or results in the acceleration of, other indebtedness. The obligation of the operating partnership to repay any accelerated indebtedness of the operating partnership will be structurally senior to the claims of holders of Ferrellgas Partners’ debt securities if Ferrellgas Partners defaults on its obligations to repurchase its debt securities upon a change of control. Future debt agreements may also contain similar provisions. In addition, future debt agreements of Ferrellgas Partners or the operating partnership may contain other restrictions on the ability of Ferrellgas Partners or the operating partnership to repurchase its notes upon a change of control. These restrictions could prevent the applicable issuer from satisfying its obligations to purchase its notes unless it is able to refinance the indebtedness or obtain waivers or consents from the holders of such indebtedness. The applicable issuer’s failure to make or consummate a change of control repurchase offer or pay the change of control purchase price when due would allow the trustee and the holders of the notes to declare the notes to be immediately due and payable.</w:t>
      </w:r>
    </w:p>
    <w:p>
      <w:pPr>
        <w:spacing w:after="0" w:line="182"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In addition, certain important events, such as leveraged recapitalizations, may not constitute a “change of control” under our indentures that would require us to repurchase the notes, even though those corporate events could increase the level of our indebtedness or otherwise adversely affect our capital structure, credit ratings or the value of our notes.</w:t>
      </w:r>
    </w:p>
    <w:p>
      <w:pPr>
        <w:spacing w:after="0" w:line="14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exercise by the holders of our notes of their right to require us to repurchase the notes pursuant to a change of control offer could cause a default under the agreements governing our other indebtedness, including future agreements, even if the change of control itself does not, due to the financial effect of such repurchases on us. In the event a change of control offer is required to be made at a time when we are prohibited from purchasing notes, we could attempt to refinance the indebtedness that contains such prohibitions. If we do not obtain a consent or repay such indebtedness, we will remain prohibited from purchasing notes. In that case, our failure to purchase tendered notes would constitute an event of default under one or more of our indentures which could, in turn, constitute a default under our other indebtedness. Finally, our ability to pay cash to the holders of our notes upon a repurchase may be limited by our then existing financial resources.</w:t>
      </w:r>
    </w:p>
    <w:p>
      <w:pPr>
        <w:spacing w:after="0" w:line="165"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Additionally, the definition of “change of control” in the indenture governing the operating partnership’s senior secured notes contains an exception that permits, subject to certain conditions, holders of the Ferrellgas Partners Notes or the operating partnership’s unsecured senior notes to take a direct or indirect equity ownership interest, including a controlling stake, in the operating partnership or the general partner without triggering the requirement to repurchase the operating partnership’s senior secured notes. Certain of such transactions may still qualify as a “change of control” under the indentures governing our unsecured notes, and as a result we may be required to repurchase our unsecured notes at 101% of their principal amount without making a similar offer to the holders of the operating partnership’s senior secured notes.</w:t>
      </w:r>
    </w:p>
    <w:p>
      <w:pPr>
        <w:spacing w:after="0" w:line="19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i w:val="1"/>
          <w:iCs w:val="1"/>
          <w:color w:val="auto"/>
        </w:rPr>
        <w:t>We may not be able to clearly establish when a sale of all or substantially all of the assets has occurred under New York law.</w:t>
      </w:r>
    </w:p>
    <w:p>
      <w:pPr>
        <w:spacing w:after="0" w:line="170"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One of the events that may constitute a change of control is a sale of all or substantially all our assets. The meaning of “substantially all” varies according to the facts and circumstances of the subject transaction and has no clearly established meaning under New York law, which is the law that governs our indentures. This ambiguity as to when a sale of substantially all of our assets has occurred may result in uncertainty regarding whether a change of control has occurred and whether an obligation to offer to repurchase our notes has been triggered.</w:t>
      </w:r>
    </w:p>
    <w:p>
      <w:pPr>
        <w:spacing w:after="0" w:line="176" w:lineRule="exact"/>
        <w:rPr>
          <w:sz w:val="20"/>
          <w:szCs w:val="20"/>
          <w:color w:val="auto"/>
        </w:rPr>
      </w:pPr>
    </w:p>
    <w:p>
      <w:pPr>
        <w:jc w:val="both"/>
        <w:ind w:left="60" w:right="199"/>
        <w:spacing w:after="0" w:line="259" w:lineRule="auto"/>
        <w:rPr>
          <w:sz w:val="20"/>
          <w:szCs w:val="20"/>
          <w:color w:val="auto"/>
        </w:rPr>
      </w:pPr>
      <w:r>
        <w:rPr>
          <w:rFonts w:ascii="Arial" w:cs="Arial" w:eastAsia="Arial" w:hAnsi="Arial"/>
          <w:sz w:val="18"/>
          <w:szCs w:val="18"/>
          <w:i w:val="1"/>
          <w:iCs w:val="1"/>
          <w:color w:val="auto"/>
        </w:rPr>
        <w:t>Our common units are no longer listed on the New York Stock Exchange and are instead traded on the OTC Pink Market. The OTC Pink Market has less liquidity than the NYSE and unitholders may face limited availability of market quotations for our common units, reduced liquidity for the trading of our common units and potentially lower trading prices for our common units.</w:t>
      </w:r>
    </w:p>
    <w:p>
      <w:pPr>
        <w:spacing w:after="0" w:line="18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previously announced, we were notified by the NYSE that we were not in compliance with its continued listing standards because the average closing price of our common units over a consecutive 30-day trading period was less than $1.00 per unit. After failing to regain compliance, we withdrew the listing of our common units from the NYSE, effective January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color w:val="auto"/>
        </w:rPr>
        <w:t>We may not be able to relist our common units on the NYSE or another national securities exchange and we expect our common units to be quoted on the OTC Pink Market for the foreseeable future. Unitholders may face limited availability of market quotations for our common units, reduced liquidity for the trading of our common units and potentially lower trading prices for our common units. In addition, we could experience a decreased ability to issue additional securities and obtain additional financing in the future, and it could impair our ability to provide equity incentives to our employees. There can be no assurance that the trading market for our common units will improve in the future or that any improvement will be sustained.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There may be no active trading market for our debt securities, which may limit a holder’s ability to sell our debt securities.</w:t>
      </w:r>
    </w:p>
    <w:p>
      <w:pPr>
        <w:spacing w:after="0" w:line="24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Our existing debt securities are not, and we do not expect that any debt securities we may issue in the future to be, listed on any securities exchange quoted through any automated quotation system. An established market for our debt securities may not develop, or if one does develop, it may not be maintained. Although underwriters may advise us that they intend to make a market in our debt securities, they are not obligated to do so and may discontinue such market-making activity at any time without notice. In addition, market-making activity is subject to the limits imposed by the Securities Act of 1933, as amended (the “Securities Act”), and the Securities Exchange Act of 1934, as amended (the “Exchange Act”). For these reasons, we cannot assure a debt holder that:</w:t>
      </w:r>
    </w:p>
    <w:p>
      <w:pPr>
        <w:spacing w:after="0" w:line="177" w:lineRule="exact"/>
        <w:rPr>
          <w:sz w:val="20"/>
          <w:szCs w:val="20"/>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liquid market for the debt securities will develop;</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debt holder will be able to sell its debt securities;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debt holder will receive any specific price upon any sale of its debt securities.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If a public market for the debt securities did develop, the debt securities could trade at prices that may be higher or lower than their principal amount or purchase price, depending on many factors, including prevailing interest rates, the market for similar debt securities and our financial performance. Historically, the market for non-investment grade debt, such as our debt securities, has been subject to disruptions that have caused substantial fluctuations in the prices of these securities.</w:t>
      </w:r>
    </w:p>
    <w:p>
      <w:pPr>
        <w:spacing w:after="0" w:line="188"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i w:val="1"/>
          <w:iCs w:val="1"/>
          <w:color w:val="auto"/>
        </w:rPr>
        <w:t>Our general partner has broad discretion to determine the amount of “available cash” for distribution to holders of our equity securities through the establishment and maintenance of cash reserves, thereby potentially lessening and limiting the amount of “available cash” eligible for distribution.</w:t>
      </w:r>
    </w:p>
    <w:p>
      <w:pPr>
        <w:spacing w:after="0" w:line="184"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Subject to the restrictions on distributions in the applicable indentures as discussed above, our general partner determines the timing and amount of our distributions and has broad discretion in determining the amount of funds that will be recognized as “available cash.” Part of this discretion comes from the ability of our general partner to establish and make additions to our reserves. Decisions as to amounts to be placed in or released from reserves have a direct impact on the amount of available cash for distributions because increases and decreases in reserves are taken into account in computing available cash. Funds within or added to our reserves are not considered to be “available cash” and are therefore not required to be distributed. Each fiscal quarter, our general partner may, in its reasonable discretion, determine the amounts to be placed in or released from reserves, subject to restrictions on the purposes of the reserves. Reserves may be made, increased or decreased for any proper purpose, including, but not limited to, reserves:</w:t>
      </w:r>
    </w:p>
    <w:p>
      <w:pPr>
        <w:spacing w:after="0" w:line="166" w:lineRule="exact"/>
        <w:rPr>
          <w:sz w:val="20"/>
          <w:szCs w:val="20"/>
          <w:color w:val="auto"/>
        </w:rPr>
      </w:pPr>
    </w:p>
    <w:p>
      <w:pPr>
        <w:ind w:left="1020" w:right="239" w:hanging="322"/>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the terms of any of our agreements or obligations, including the establishment of reserves to fund the payment of interest and principal in the future of any debt securities of Ferrellgas Partners or the operating partnership;</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level distributions of cash notwithstanding the seasonality of our business; and</w:t>
      </w:r>
    </w:p>
    <w:p>
      <w:pPr>
        <w:spacing w:after="0" w:line="225"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future capital expenditures and other payments deemed by our general partner to be necessary or advisable.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The decision by our general partner to establish, increase or decrease our reserves may limit the amount of cash available for distribution to holders of our equity securities. Holders of our equity securities will not receive payments required by such securities unless we are able to first satisfy our own obligations and the establishment of any reserves.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Ferrellgas Partners may sell additional limited partner interests, diluting existing interests of unitholders.</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The partnership agreement of Ferrellgas Partners generally allows Ferrellgas Partners to issue additional limited partner interests and other equity securities. When Ferrellgas Partners issues additional equity securities, a unitholder’s proportionate partnership interest will decrease. Such an issuance could negatively affect the amount of cash distributed to unitholders and the market price of common units. The issuance of additional common units will also diminish the relative voting strength of the previously outstanding common units. In addition, Ferrellgas Partners may issue preferred or other securities that could have a preferred right to distributions or other priority economic terms, which could negatively affect the value of common units.</w:t>
      </w:r>
    </w:p>
    <w:p>
      <w:pPr>
        <w:spacing w:after="0" w:line="17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Persons or groups owning 20% or more of Ferrellgas Partners’ common units cannot vote. This limitation does not apply to common units owned by Ferrell Companies, our general partner and its affiliates.</w:t>
      </w:r>
    </w:p>
    <w:p>
      <w:pPr>
        <w:spacing w:after="0" w:line="170"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All common units held by a person or group that owns 20% or more of Ferrellgas Partners’ common units cannot be voted. This provision may:</w:t>
      </w:r>
    </w:p>
    <w:p>
      <w:pPr>
        <w:spacing w:after="0" w:line="170" w:lineRule="exact"/>
        <w:rPr>
          <w:sz w:val="20"/>
          <w:szCs w:val="20"/>
          <w:color w:val="auto"/>
        </w:rPr>
      </w:pPr>
    </w:p>
    <w:p>
      <w:pPr>
        <w:ind w:left="1020" w:right="1019" w:hanging="32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discourage a person or group from attempting to remove our general partner or otherwise change management;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price at which our common units will trade under various circumstances.</w:t>
      </w:r>
    </w:p>
    <w:p>
      <w:pPr>
        <w:spacing w:after="0" w:line="225"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This limitation does not apply to our general partner and its affiliates. Ferrell Companies, the parent of our general partner, beneficially owns all of the outstanding capital stock of our general partner in addition to approximately 23.4% of our common units.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Arising from Our Partnership Structure and Relationship with Our General Partner</w:t>
      </w:r>
    </w:p>
    <w:p>
      <w:pPr>
        <w:spacing w:after="0" w:line="229" w:lineRule="exact"/>
        <w:rPr>
          <w:sz w:val="20"/>
          <w:szCs w:val="20"/>
          <w:color w:val="auto"/>
        </w:rPr>
      </w:pPr>
    </w:p>
    <w:p>
      <w:pPr>
        <w:ind w:left="60" w:right="499"/>
        <w:spacing w:after="0" w:line="259" w:lineRule="auto"/>
        <w:rPr>
          <w:sz w:val="20"/>
          <w:szCs w:val="20"/>
          <w:color w:val="auto"/>
        </w:rPr>
      </w:pPr>
      <w:r>
        <w:rPr>
          <w:rFonts w:ascii="Arial" w:cs="Arial" w:eastAsia="Arial" w:hAnsi="Arial"/>
          <w:sz w:val="18"/>
          <w:szCs w:val="18"/>
          <w:i w:val="1"/>
          <w:iCs w:val="1"/>
          <w:color w:val="auto"/>
        </w:rPr>
        <w:t>Ferrellgas Partners is a holding entity and has no material operations or assets, other than its ownership stake in the operating partnership and Ferrellgas Partners Finance Corp. Accordingly, Ferrellgas Partners is dependent on distributions from the operating partnership to service its obligations and pay distributions to its unitholders. These distributions are not guaranteed and are subject to significant limitations.</w:t>
      </w:r>
    </w:p>
    <w:p>
      <w:pPr>
        <w:spacing w:after="0" w:line="187"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Ferrellgas Partners is a holding entity for our subsidiaries, including the operating partnership. Ferrellgas Partners has no material operations and only limited assets. Ferrellgas Partners Finance Corp. is Ferrellgas Partners’ wholly-owned finance subsidiary, acts only as a co-obligor on its debt securities, conducts no business and has nominal assets.</w:t>
      </w:r>
    </w:p>
    <w:p>
      <w:pPr>
        <w:spacing w:after="0" w:line="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Accordingly, Ferrellgas Partners is dependent on cash distributions from the operating partnership and its subsidiaries to service obligations of Ferrellgas Partners and pay distributions to its unitholders. As described elsewhere in these risk factors, the ability of the operating partnership to make distributions to Ferrellgas Partners is subject to significant restrictions under the terms of the agreements governing the operating partnership’s indebtedness and may be affected by a variety of other factors.</w:t>
      </w:r>
    </w:p>
    <w:p>
      <w:pPr>
        <w:spacing w:after="0" w:line="19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i w:val="1"/>
          <w:iCs w:val="1"/>
          <w:color w:val="auto"/>
        </w:rPr>
        <w:t>Unitholders have limited voting rights; our general partner manages and operates us, thereby generally precluding the participation of our unitholders in operational decisions.</w:t>
      </w:r>
    </w:p>
    <w:p>
      <w:pPr>
        <w:spacing w:after="0" w:line="170"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Our general partner manages and operates us. Unlike the holders of common stock in a corporation, unitholders have only limited voting rights on matters affecting our business. Amendments to the agreement of limited partnership of Ferrellgas Partners may be proposed only by or with the consent of our general partner. Proposed amendments must generally be approved by holders of at least a majority of our outstanding common units.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Unitholders will have no right to elect our general partner, or the directors of our general partner on an annual or other continuing basis. Our general partner may not be removed except pursuant to:</w:t>
      </w:r>
    </w:p>
    <w:p>
      <w:pPr>
        <w:spacing w:after="0" w:line="170" w:lineRule="exact"/>
        <w:rPr>
          <w:sz w:val="20"/>
          <w:szCs w:val="20"/>
          <w:color w:val="auto"/>
        </w:rPr>
      </w:pPr>
    </w:p>
    <w:p>
      <w:pPr>
        <w:ind w:left="1020" w:right="9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vote of the holders of at least 66 2/3% of the outstanding units entitled to vote thereon, which includes the common units owned by our general partner and its affiliates; and</w:t>
      </w:r>
    </w:p>
    <w:p>
      <w:pPr>
        <w:spacing w:after="0" w:line="170" w:lineRule="exact"/>
        <w:rPr>
          <w:rFonts w:ascii="Arial" w:cs="Arial" w:eastAsia="Arial" w:hAnsi="Arial"/>
          <w:sz w:val="18"/>
          <w:szCs w:val="18"/>
          <w:color w:val="auto"/>
        </w:rPr>
      </w:pPr>
    </w:p>
    <w:p>
      <w:pPr>
        <w:ind w:left="1020" w:right="319" w:hanging="32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the election of a successor general partner by the vote of the holders of not less than a majority of the outstanding common units entitled to vote.</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Because Ferrell Companies is the parent of our general partner and beneficially owns 23.4% of our outstanding common units, and James E. Ferrell, Interim Chief Executive Officer and President of our general partner; and Chairman of the Board of Directors of our general partner, indirectly owns 4.9% of our outstanding common units, amendments to the agreement of limited partnership of Ferrellgas Partners or the removal of our general partner are unlikely if neither Ferrell Companies, nor Mr. Ferrell consents to such action.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general partner has a limited call right with respect to the limited partner interests of Ferrellgas Partners.</w:t>
      </w:r>
    </w:p>
    <w:p>
      <w:pPr>
        <w:spacing w:after="0" w:line="225" w:lineRule="exact"/>
        <w:rPr>
          <w:sz w:val="20"/>
          <w:szCs w:val="20"/>
          <w:color w:val="auto"/>
        </w:rPr>
      </w:pPr>
    </w:p>
    <w:p>
      <w:pPr>
        <w:ind w:left="60" w:right="319" w:firstLine="648"/>
        <w:spacing w:after="0" w:line="254" w:lineRule="auto"/>
        <w:rPr>
          <w:sz w:val="20"/>
          <w:szCs w:val="20"/>
          <w:color w:val="auto"/>
        </w:rPr>
      </w:pPr>
      <w:r>
        <w:rPr>
          <w:rFonts w:ascii="Arial" w:cs="Arial" w:eastAsia="Arial" w:hAnsi="Arial"/>
          <w:sz w:val="18"/>
          <w:szCs w:val="18"/>
          <w:color w:val="auto"/>
        </w:rPr>
        <w:t>If at any time not more than 20% of the then-issued and outstanding limited partner interests of any class of Ferrellgas Partners are held by persons other than our general partner and its affiliates, our general partner has the right, which it may assign to any of its affiliates or to us, to acquire all, but not less than all, of the remaining limited partner interests of such class held by such unaffiliated persons at a price generally equal to the then-current market price of limited partner interests of such class. As a consequence, a unitholder may be required to sell its common units at a time when the unitholder may not desire to sell them or at a price that is less than the price desired to be received upon such sale.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Unitholders may not have limited liability in specified circumstances and may be liable for the return of distributions.</w:t>
      </w:r>
    </w:p>
    <w:p>
      <w:pPr>
        <w:spacing w:after="0" w:line="237"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The limitations on the liability of holders of limited partner interests for the obligations of a limited partnership have not been clearly established in some states. If it were determined that we had been conducting business in any state without compliance with the applicable limited partnership statute, or that the right, or the exercise of the right by the limited partners as a group, to:</w:t>
      </w:r>
    </w:p>
    <w:p>
      <w:pPr>
        <w:spacing w:after="0" w:line="187" w:lineRule="exact"/>
        <w:rPr>
          <w:sz w:val="20"/>
          <w:szCs w:val="20"/>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remove or replace our general partner;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specified amendments to our partnership agreements; or</w:t>
      </w:r>
    </w:p>
    <w:p>
      <w:pPr>
        <w:spacing w:after="0" w:line="225" w:lineRule="exact"/>
        <w:rPr>
          <w:rFonts w:ascii="Arial" w:cs="Arial" w:eastAsia="Arial" w:hAnsi="Arial"/>
          <w:sz w:val="18"/>
          <w:szCs w:val="18"/>
          <w:color w:val="auto"/>
        </w:rPr>
      </w:pPr>
    </w:p>
    <w:p>
      <w:pPr>
        <w:jc w:val="both"/>
        <w:ind w:left="1020" w:right="159" w:hanging="322"/>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take other action pursuant to our partnership agreements that constitutes participation in the “control” of our business, then the limited partners could be held liable in some circumstances for our obligations to the same extent as a general partner.</w:t>
      </w:r>
    </w:p>
    <w:p>
      <w:pPr>
        <w:spacing w:after="0" w:line="184"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In addition, under some circumstances a unitholder may be liable to us for the amount of a distribution for a period of three years from the date of the distribution. Unitholders will not be liable for assessments in addition to their initial capital investment in our common units. Under Delaware law, we may not make a distribution to our unitholders if the distribution causes all our liabilities to exceed the fair value of our assets. Liabilities to partners on account of their partnership interests and liabilities for which recourse is limited to specific property are not counted for purposes of determining whether a distribution is permitted. Delaware law provides that a limited partner who receives such a distribution and knew at the time of the distribution that the distribution violated the Delaware law will be liable to the limited partnership for the distribution amount for three years from the distribution date. Under Delaware law, an assignee that becomes a substituted limited partner of a limited partnership is liable for the obligations of the assignor to make contributions to the partnership. However, such an assignee is not obligated for liabilities unknown to that assignee at the time such assignee became a limited partner if the liabilities could not be determined from the partnership agreements.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general partner’s liability to us and our unitholders may be limited.</w:t>
      </w:r>
    </w:p>
    <w:p>
      <w:pPr>
        <w:spacing w:after="0" w:line="225"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The partnership agreements of Ferrellgas Partners and the operating partnership contain language limiting the liability of our general partner to us and to our unitholders. For example, those partnership agreements provide that:</w:t>
      </w:r>
    </w:p>
    <w:p>
      <w:pPr>
        <w:spacing w:after="0" w:line="124" w:lineRule="exact"/>
        <w:rPr>
          <w:sz w:val="20"/>
          <w:szCs w:val="20"/>
          <w:color w:val="auto"/>
        </w:rPr>
      </w:pPr>
    </w:p>
    <w:p>
      <w:pPr>
        <w:ind w:left="1020" w:right="339" w:hanging="322"/>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partner does not breach any duty to us or our unitholders by borrowing funds or approving any borrowing; our general partner is protected even if the purpose or effect of the borrowing is to increase incentive distributions to our general partner;</w:t>
      </w:r>
    </w:p>
    <w:p>
      <w:pPr>
        <w:spacing w:after="0" w:line="183" w:lineRule="exact"/>
        <w:rPr>
          <w:rFonts w:ascii="Arial" w:cs="Arial" w:eastAsia="Arial" w:hAnsi="Arial"/>
          <w:sz w:val="18"/>
          <w:szCs w:val="18"/>
          <w:color w:val="auto"/>
        </w:rPr>
      </w:pPr>
    </w:p>
    <w:p>
      <w:pPr>
        <w:ind w:left="1020" w:right="79" w:hanging="322"/>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general partner does not breach any duty to us or our unitholders by taking any actions consistent with the standards of reasonable discretion outlined in the definitions of available cash and cash from operations contained in our partnership agreements; and</w:t>
      </w:r>
    </w:p>
    <w:p>
      <w:pPr>
        <w:spacing w:after="0" w:line="183" w:lineRule="exact"/>
        <w:rPr>
          <w:rFonts w:ascii="Arial" w:cs="Arial" w:eastAsia="Arial" w:hAnsi="Arial"/>
          <w:sz w:val="18"/>
          <w:szCs w:val="18"/>
          <w:color w:val="auto"/>
        </w:rPr>
      </w:pPr>
    </w:p>
    <w:p>
      <w:pPr>
        <w:ind w:left="1020" w:right="239" w:hanging="322"/>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general partner does not breach any standard of care or duty by resolving conflicts of interest unless our general partner acts in bad faith.</w:t>
      </w:r>
    </w:p>
    <w:p>
      <w:pPr>
        <w:spacing w:after="0" w:line="17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Our partnership agreements eliminate the fiduciary duties that, under Delaware law, would otherwise apply to the general partner and replace them with a contractual good faith standard of care. The partnership agreements significantly limit the ability of unitholders to successfully challenge the actions of our general partner because our general partner's actions will be upheld as long as the action is reasonably believed by the general partner to be in, or not inconsistent with, the partnership’s best interests.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general partner and its affiliates may have conflicts with us.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directors and officers of our general partner have fiduciary duties to manage our general partner in a manner that is beneficial to the best interest of Ferrellgas Partners and the operating partnership and not inconsistent with the best interest of those entities. The overall governance structure of the Ferrellgas entities is focused on Ferrellgas Partners and the operating partnership and, as such, the officers and directors of the general partner or the general partner’s parent entity should generally make decisions that are reasonably believed to be in, or not inconsistent with, the best interest of the operating partnership and Ferrellgas Partners, which duties and obligations are set forth in the applicable partnership agreements. Notwithstanding, there may be situations in which our general partner’s duties to us may conflict with the duties of its officers and directors to our general partner and its stockholder.</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Matters in which, and reasons that, such conflicts of interest may arise include:</w:t>
      </w:r>
    </w:p>
    <w:p>
      <w:pPr>
        <w:spacing w:after="0" w:line="225" w:lineRule="exact"/>
        <w:rPr>
          <w:sz w:val="20"/>
          <w:szCs w:val="20"/>
          <w:color w:val="auto"/>
        </w:rPr>
      </w:pPr>
    </w:p>
    <w:p>
      <w:pPr>
        <w:ind w:left="1340" w:right="299" w:hanging="318"/>
        <w:spacing w:after="0" w:line="286" w:lineRule="auto"/>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decisions of our general partner with respect to the amount and timing of our cash expenditures, borrowings, acquisitions, issuances of additional securities and changes in reserves in any quarter may affect the amount of incentive distributions we are obligated to pay our general partner;</w:t>
      </w:r>
    </w:p>
    <w:p>
      <w:pPr>
        <w:spacing w:after="0" w:line="165" w:lineRule="exact"/>
        <w:rPr>
          <w:rFonts w:ascii="Arial" w:cs="Arial" w:eastAsia="Arial" w:hAnsi="Arial"/>
          <w:sz w:val="17"/>
          <w:szCs w:val="17"/>
          <w:color w:val="auto"/>
        </w:rPr>
      </w:pPr>
    </w:p>
    <w:p>
      <w:pPr>
        <w:jc w:val="both"/>
        <w:ind w:left="1340" w:right="159" w:hanging="318"/>
        <w:spacing w:after="0" w:line="286" w:lineRule="auto"/>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borrowings do not constitute a breach of any duty owed by our general partner to our unitholders even if these borrowings have the purpose or effect of directly or indirectly enabling us to make distributions to the holder of our incentive distribution rights, which is currently our general partner;</w:t>
      </w:r>
    </w:p>
    <w:p>
      <w:pPr>
        <w:spacing w:after="0" w:line="165" w:lineRule="exact"/>
        <w:rPr>
          <w:rFonts w:ascii="Arial" w:cs="Arial" w:eastAsia="Arial" w:hAnsi="Arial"/>
          <w:sz w:val="17"/>
          <w:szCs w:val="17"/>
          <w:color w:val="auto"/>
        </w:rPr>
      </w:pPr>
    </w:p>
    <w:p>
      <w:pPr>
        <w:ind w:left="1340" w:hanging="318"/>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do not have any employees and rely solely on employees of our general partner and its affiliates;</w:t>
      </w:r>
    </w:p>
    <w:p>
      <w:pPr>
        <w:spacing w:after="0" w:line="236" w:lineRule="exact"/>
        <w:rPr>
          <w:rFonts w:ascii="Arial" w:cs="Arial" w:eastAsia="Arial" w:hAnsi="Arial"/>
          <w:sz w:val="17"/>
          <w:szCs w:val="17"/>
          <w:color w:val="auto"/>
        </w:rPr>
      </w:pPr>
    </w:p>
    <w:p>
      <w:pPr>
        <w:ind w:left="1340" w:right="339" w:hanging="318"/>
        <w:spacing w:after="0" w:line="259"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terms of the partnership agreements of Ferrellgas Partners and the operating partnership, we must reimburse our general partner and its affiliates for costs incurred in managing and operating us, including costs incurred in providing employees to the operating partnership and rendering corporate staff and support services to us;</w:t>
      </w:r>
    </w:p>
    <w:p>
      <w:pPr>
        <w:spacing w:after="0" w:line="186" w:lineRule="exact"/>
        <w:rPr>
          <w:rFonts w:ascii="Arial" w:cs="Arial" w:eastAsia="Arial" w:hAnsi="Arial"/>
          <w:sz w:val="18"/>
          <w:szCs w:val="18"/>
          <w:color w:val="auto"/>
        </w:rPr>
      </w:pPr>
    </w:p>
    <w:p>
      <w:pPr>
        <w:ind w:left="1340" w:right="159" w:hanging="318"/>
        <w:spacing w:after="0" w:line="263"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general partner is not restricted from causing us to pay it or its affiliates for any services rendered on terms that are fair and reasonable to us or causing us to enter into additional contractual arrangements with any of such entities;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40" w:right="219" w:hanging="318"/>
        <w:spacing w:after="0" w:line="286" w:lineRule="auto"/>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the partnership agreements of Ferrellgas Partners and the operating partnership nor any of the other agreements, contracts and arrangements between us, on the one hand, and our general partner and its affiliates, on the other, are or will be the result of arm’s-length negotiations;</w:t>
      </w:r>
    </w:p>
    <w:p>
      <w:pPr>
        <w:spacing w:after="0" w:line="165" w:lineRule="exact"/>
        <w:rPr>
          <w:rFonts w:ascii="Arial" w:cs="Arial" w:eastAsia="Arial" w:hAnsi="Arial"/>
          <w:sz w:val="17"/>
          <w:szCs w:val="17"/>
          <w:color w:val="auto"/>
        </w:rPr>
      </w:pPr>
    </w:p>
    <w:p>
      <w:pPr>
        <w:ind w:left="1340" w:right="359" w:hanging="318"/>
        <w:spacing w:after="0" w:line="263"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whenever possible, our general partner limits our liability under contractual arrangements to all or a portion of our assets, with the other party thereto having no recourse against our general partner or its assets;</w:t>
      </w:r>
    </w:p>
    <w:p>
      <w:pPr>
        <w:spacing w:after="0" w:line="183" w:lineRule="exact"/>
        <w:rPr>
          <w:rFonts w:ascii="Arial" w:cs="Arial" w:eastAsia="Arial" w:hAnsi="Arial"/>
          <w:sz w:val="18"/>
          <w:szCs w:val="18"/>
          <w:color w:val="auto"/>
        </w:rPr>
      </w:pPr>
    </w:p>
    <w:p>
      <w:pPr>
        <w:ind w:left="1340" w:right="419" w:hanging="318"/>
        <w:spacing w:after="0" w:line="263"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partnership agreements of Ferrellgas Partners and the operating partnership permit our general partner to make these limitations even if we could have obtained more favorable terms if our general partner had not limited its liability;</w:t>
      </w:r>
    </w:p>
    <w:p>
      <w:pPr>
        <w:spacing w:after="0" w:line="183" w:lineRule="exact"/>
        <w:rPr>
          <w:rFonts w:ascii="Arial" w:cs="Arial" w:eastAsia="Arial" w:hAnsi="Arial"/>
          <w:sz w:val="18"/>
          <w:szCs w:val="18"/>
          <w:color w:val="auto"/>
        </w:rPr>
      </w:pPr>
    </w:p>
    <w:p>
      <w:pPr>
        <w:ind w:left="1340" w:right="159" w:hanging="318"/>
        <w:spacing w:after="0" w:line="259"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agreements between us and our general partner or its affiliates will not grant to our unitholders, separate and apart from us, the right to enforce the obligations of our general partner or such affiliates in favor of us; therefore, our general partner will be primarily responsible for enforcing those obligations against itself or such affiliates;</w:t>
      </w:r>
    </w:p>
    <w:p>
      <w:pPr>
        <w:spacing w:after="0" w:line="186" w:lineRule="exact"/>
        <w:rPr>
          <w:rFonts w:ascii="Arial" w:cs="Arial" w:eastAsia="Arial" w:hAnsi="Arial"/>
          <w:sz w:val="18"/>
          <w:szCs w:val="18"/>
          <w:color w:val="auto"/>
        </w:rPr>
      </w:pPr>
    </w:p>
    <w:p>
      <w:pPr>
        <w:ind w:left="1340" w:right="299" w:hanging="318"/>
        <w:spacing w:after="0" w:line="342"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general partner may exercise its limited right to call for and purchase common units as provided in the partnership agreement of Ferrellgas Partners or assign that right to one of its affiliates or to us;</w:t>
      </w:r>
    </w:p>
    <w:p>
      <w:pPr>
        <w:spacing w:after="0" w:line="123" w:lineRule="exact"/>
        <w:rPr>
          <w:rFonts w:ascii="Arial" w:cs="Arial" w:eastAsia="Arial" w:hAnsi="Arial"/>
          <w:sz w:val="16"/>
          <w:szCs w:val="16"/>
          <w:color w:val="auto"/>
        </w:rPr>
      </w:pPr>
    </w:p>
    <w:p>
      <w:pPr>
        <w:ind w:left="1340" w:right="199" w:hanging="318"/>
        <w:spacing w:after="0" w:line="301"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partnership agreements provide that it will not constitute a breach of our general partner’s fiduciary duties to us for its affiliates to engage in activities of the type conducted by us, other than retail propane sales to end users in the continental United States in the manner engaged in by our general partner immediately prior to our initial public offering, even if these activities are in direct competition with us;</w:t>
      </w:r>
    </w:p>
    <w:p>
      <w:pPr>
        <w:spacing w:after="0" w:line="157" w:lineRule="exact"/>
        <w:rPr>
          <w:rFonts w:ascii="Arial" w:cs="Arial" w:eastAsia="Arial" w:hAnsi="Arial"/>
          <w:sz w:val="16"/>
          <w:szCs w:val="16"/>
          <w:color w:val="auto"/>
        </w:rPr>
      </w:pPr>
    </w:p>
    <w:p>
      <w:pPr>
        <w:ind w:left="1340" w:hanging="318"/>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general partner and its affiliates have no obligation to present business opportunities to us;</w:t>
      </w:r>
    </w:p>
    <w:p>
      <w:pPr>
        <w:spacing w:after="0" w:line="225" w:lineRule="exact"/>
        <w:rPr>
          <w:rFonts w:ascii="Arial" w:cs="Arial" w:eastAsia="Arial" w:hAnsi="Arial"/>
          <w:sz w:val="18"/>
          <w:szCs w:val="18"/>
          <w:color w:val="auto"/>
        </w:rPr>
      </w:pPr>
    </w:p>
    <w:p>
      <w:pPr>
        <w:ind w:left="1340" w:right="159" w:hanging="318"/>
        <w:spacing w:after="0" w:line="259"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general partner selects the attorneys, accountants and others who perform services for us, and these persons may also perform services for our general partner and its affiliates; however, our general partner is authorized to retain separate counsel for us or our unitholders, depending on the nature of the conflict that arises; and</w:t>
      </w:r>
    </w:p>
    <w:p>
      <w:pPr>
        <w:spacing w:after="0" w:line="186" w:lineRule="exact"/>
        <w:rPr>
          <w:rFonts w:ascii="Arial" w:cs="Arial" w:eastAsia="Arial" w:hAnsi="Arial"/>
          <w:sz w:val="18"/>
          <w:szCs w:val="18"/>
          <w:color w:val="auto"/>
        </w:rPr>
      </w:pPr>
    </w:p>
    <w:p>
      <w:pPr>
        <w:ind w:left="1340" w:right="279" w:hanging="318"/>
        <w:spacing w:after="0" w:line="255"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James E. Ferrell is the Interim Chief Executive Officer and President of our general partner and the Chairman of the Board of Directors of our general partner. Mr. Ferrell also owns other companies with whom we may, from time to time, conduct transactions in the ordinary course of our business. Mr. Ferrell’s ownership of these entities may conflict with his duties as an officer or director of our general partner, including with respect to our relationship and conduct of business with any of Mr. Ferrell’s companies.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“Conflicts of Interest” and “Fiduciary Responsibilities” below.</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Ferrell Companies may transfer the ownership of our general partner, which could cause a change of our management and affect the decisions made by our general partner regarding resolutions of conflicts of interest.</w:t>
      </w:r>
    </w:p>
    <w:p>
      <w:pPr>
        <w:spacing w:after="0" w:line="170"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Ferrell Companies, the owner of our general partner, may transfer the capital stock of our general partner without the consent of our unitholders. In such an instance, our general partner will remain bound by our partnership agreements. If, however, through share ownership or otherwise, persons not now affiliated with our general partner were to acquire its general partner interest in us or effective control of our general partner, our management and resolutions of conflicts of interest, such as those described above, could change substantially. A transfer of the ownership of our general partner also could result in a “change of control” under our debt instruments, which could result in an event of default under such debt instruments or require that we offer to repurchase our debt securities.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general partner may voluntarily withdraw or sell its general partner interest.</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Our general partner may withdraw as the general partner of Ferrellgas Partners and the operating partnership without the approval of our unitholders. Our general partner may also sell its general partner interest in Ferrellgas Partners and the operating partnership without the approval of our unitholders. Any such withdrawal or sale could have a material adverse effect on us and could substantially change our management and the resolution of conflicts of interest, as described above. A withdrawal by our general partner or a sale of its general partner interest also could result in a “change of control” under our debt instruments, which could result in an event of default under such debt instruments or require that we offer to repurchase our debt securities.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general partner has the ability to protect itself against dilution.</w:t>
      </w:r>
    </w:p>
    <w:p>
      <w:pPr>
        <w:spacing w:after="0" w:line="225"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Whenever we issue equity securities to any person other than our general partner and its affiliates, our general partner has the right to purchase additional limited partner interests on the same terms. This allows our general partner to maintain its partnership interest in us. No other unitholder has a similar right. Therefore, only our general partner has the ability to protect itself against dilution caused by our issuance of additional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Risks</w:t>
      </w:r>
    </w:p>
    <w:p>
      <w:pPr>
        <w:spacing w:after="0" w:line="225"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i w:val="1"/>
          <w:iCs w:val="1"/>
          <w:color w:val="auto"/>
        </w:rPr>
        <w:t>The U.S. Internal Revenue Service (the “IRS”) could challenge our classification as a partnership for federal income tax purposes, which, if successful, would result in our being treated as a corporation for federal income tax purposes. Additionally, changes in federal or state laws could subject us to entity-level taxation. Either of these events would substantially reduce the cash available for distribution to our unitholders.</w:t>
      </w:r>
    </w:p>
    <w:p>
      <w:pPr>
        <w:spacing w:after="0" w:line="187"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 We believe that, under current law, we have been and will continue to be classified as a partnership for federal income tax purposes; however, we have not requested, and do not plan to request, a ruling from the IRS with respect to our treatment as a partnership for federal income tax purposes. One of the requirements for such classification is that at least 90% of our gross income for each taxable year has been and will be “qualifying income” within the meaning of Section 7704 of the Internal Revenue Code of 1986, as amended (the “Internal Revenue Code”). Whether we will continue to be classified as a partnership depends in part on our ability to meet this qualifying income test in the future.</w:t>
      </w:r>
    </w:p>
    <w:p>
      <w:pPr>
        <w:spacing w:after="0" w:line="19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If we were classified as a corporation for federal income tax purposes, we would pay tax on our income at corporate rates, currently 21% at the federal level, and we would probably pay additional state income taxes as well. In addition, distributions would generally be taxable to the recipient as corporate dividends and no income, gains, losses or deductions would flow through to our unitholders. Because a tax would be imposed upon us at the entity level as a corporation, the cash available for distribution to our unitholders would be substantially reduced. Therefore, treatment of us as a corporation would result in a material reduction in the anticipated cash flow and after-tax return to our unitholders and thus would likely result in a substantial reduction in the value of our common units.</w:t>
      </w:r>
    </w:p>
    <w:p>
      <w:pPr>
        <w:spacing w:after="0" w:line="177"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A change in current law or a change in our business could cause us to be treated as a corporation for federal income tax purposes or otherwise subject us to entity-level taxation. The partnership agreement of Ferrellgas Partners provides that, if a law is enacted or existing law is modified or interpreted in a manner that subjects Ferrellgas Partners or the operating partnership to taxation as a corporation or otherwise subjects either of them to entity-level taxation for federal, state or local income tax purposes, certain provisions of the partnership agreement of Ferrellgas Partners will be subject to change. These changes would include a decrease in the minimum quarterly distribution and the target distribution levels to reflect the impact of such entity-level taxes.</w:t>
      </w:r>
    </w:p>
    <w:p>
      <w:pPr>
        <w:spacing w:after="0" w:line="17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i w:val="1"/>
          <w:iCs w:val="1"/>
          <w:color w:val="auto"/>
        </w:rPr>
        <w:t>The tax treatment of publicly traded partnerships could be subject to potential legislative, judicial or administrative changes and differing interpretations, possibly on a retroactive basis.</w:t>
      </w:r>
    </w:p>
    <w:p>
      <w:pPr>
        <w:spacing w:after="0" w:line="170"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present U.S. federal income tax treatment of publicly traded partnerships, including us, may be modified by administrative or judicial interpretation or legislative action at any time. Any modification to the U.S. federal income tax</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laws and interpretations thereof may or may not be applied retroactively and could make it more difficult or impossible to meet the exception for us to be treated as a partnership for U.S. federal income tax purposes that is not taxable as a corporation, affect or cause us to change our business activities, affect the tax considerations of an investment in us and change the character or treatment of portions of our income.</w:t>
      </w:r>
    </w:p>
    <w:p>
      <w:pPr>
        <w:spacing w:after="0" w:line="187" w:lineRule="exact"/>
        <w:rPr>
          <w:sz w:val="20"/>
          <w:szCs w:val="20"/>
          <w:color w:val="auto"/>
        </w:rPr>
      </w:pPr>
    </w:p>
    <w:p>
      <w:pPr>
        <w:jc w:val="both"/>
        <w:ind w:left="60" w:right="179" w:firstLine="648"/>
        <w:spacing w:after="0" w:line="259" w:lineRule="auto"/>
        <w:rPr>
          <w:sz w:val="20"/>
          <w:szCs w:val="20"/>
          <w:color w:val="auto"/>
        </w:rPr>
      </w:pPr>
      <w:r>
        <w:rPr>
          <w:rFonts w:ascii="Arial" w:cs="Arial" w:eastAsia="Arial" w:hAnsi="Arial"/>
          <w:sz w:val="18"/>
          <w:szCs w:val="18"/>
          <w:color w:val="auto"/>
        </w:rPr>
        <w:t>We are unable to predict whether any such changes will occur. Any such changes could cause us to be treated as an association taxable as a corporation for U.S. federal income tax purposes and thereby subject us to entity-level income taxes, which would cause a material reduction in our anticipated cash flows and adversely affect the value of our common units.</w:t>
      </w:r>
    </w:p>
    <w:p>
      <w:pPr>
        <w:spacing w:after="0" w:line="187"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i w:val="1"/>
          <w:iCs w:val="1"/>
          <w:color w:val="auto"/>
        </w:rPr>
        <w:t>A successful IRS contest of the federal income tax positions we take may reduce the market value of our common units and the costs of any contest will be borne by us and therefore indirectly by our unitholders and our general partner.</w:t>
      </w:r>
    </w:p>
    <w:p>
      <w:pPr>
        <w:spacing w:after="0" w:line="12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have not requested, and do not plan to request, a ruling from the IRS with respect to our treatment as a partnership for federal income tax purposes. The IRS may adopt positions that differ from those expressed herein or from the positions we take. It may be necessary to resort to administrative or court proceedings in an effort to sustain some or all of the positions we take, and some or all of these positions ultimately may not be sustained. Any successful IRS contest may materially reduce the market value of our common units and the prices at which our common units trade. In addition, our costs of any contest with the IRS will be borne by us and therefore indirectly by our unitholders and our general partner.</w:t>
      </w:r>
    </w:p>
    <w:p>
      <w:pPr>
        <w:spacing w:after="0" w:line="19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Unitholders may be required to pay taxes on their share of our taxable income even if they do not receive cash distributions from us.</w:t>
      </w:r>
    </w:p>
    <w:p>
      <w:pPr>
        <w:spacing w:after="0" w:line="170"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Unitholders may be required to pay federal income taxes and, in some cases, state and local income taxes on their share of our taxable income, including our taxable income associated with a disposition of property or cancellation of debt, whether or not they receive any cash distributions from us. Unless and until we resume paying cash distributions on our common units, unitholders will not receive any cash from us to cover any such tax liabilities, and, if we do pay cash distributions in the future, such cash distributions may not be equal to unitholders’ share of our taxable income or even equal to the actual tax liability which results from that income.</w:t>
      </w:r>
    </w:p>
    <w:p>
      <w:pPr>
        <w:spacing w:after="0" w:line="178"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continue to pursue a strategy to reduce our debt and interest expense. As part of this strategy, we may engage in transactions that could have significant adverse tax consequences to our unitholders. For example, we may sell some of our assets and use the proceeds to pay down debt or fund capital expenditures rather than distributing the proceeds to our unitholders, and some or all of our unitholders may be allocated substantial taxable income and gain resulting from the sale without receiving a cash distribution. We may also engage in transactions to reduce our existing debt, such as debt exchanges, debt repurchases, or modifications of our existing debt, that could result in cancellation of indebtedness income (“COD income”), or other income, being allocated to our unitholders as taxable income. This may cause a unitholder to be allocated taxable income with respect to our units with no corresponding distribution of cash to fund the payment of the unitholder’s resulting tax liability.</w:t>
      </w:r>
    </w:p>
    <w:p>
      <w:pPr>
        <w:spacing w:after="0" w:line="181" w:lineRule="exact"/>
        <w:rPr>
          <w:sz w:val="20"/>
          <w:szCs w:val="20"/>
          <w:color w:val="auto"/>
        </w:rPr>
      </w:pPr>
    </w:p>
    <w:p>
      <w:pPr>
        <w:jc w:val="both"/>
        <w:ind w:left="60" w:right="179" w:firstLine="648"/>
        <w:spacing w:after="0" w:line="342" w:lineRule="auto"/>
        <w:rPr>
          <w:sz w:val="20"/>
          <w:szCs w:val="20"/>
          <w:color w:val="auto"/>
        </w:rPr>
      </w:pPr>
      <w:r>
        <w:rPr>
          <w:rFonts w:ascii="Arial" w:cs="Arial" w:eastAsia="Arial" w:hAnsi="Arial"/>
          <w:sz w:val="16"/>
          <w:szCs w:val="16"/>
          <w:color w:val="auto"/>
        </w:rPr>
        <w:t>The ultimate effect of any such allocations will depend on the unitholder’s individual tax position with respect to its units. Unitholders are encouraged to consult their tax advisors with respect to the consequences to them of this income.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unitholders may be subject to limitations on their ability to deduct interest expense incurred by us.</w:t>
      </w:r>
    </w:p>
    <w:p>
      <w:pPr>
        <w:spacing w:after="0" w:line="225"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In general, our unitholders are entitled to a deduction for the interest we have paid or accrued on indebtedness properly allocable to our business during our taxable year. However, under the Tax Cuts and Jobs Act of 2017 (the “Tax Act”), for taxable years beginning after December 31, 2017, the deductibility of net interest expense is limited to the sum of our business interest income and 30% (or 50% for 2020, as amended by the CARES Act) of our “adjusted taxable income”. For tax years beginning after December 31, 2017 and before January 1, 2022, the Tax Act calculates adjusted taxable income using an EBITDA-based calculation. For tax years beginning January 1, 2022 and thereafter, the calculation of adjusted taxable income will not add back depreciation or amortization. Any business interest expense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disallowed at the partnership level is then generally carried forward and may be deducted in a succeeding taxable year by a unitholder, in accordance with the unitholder’s applicable tax laws. These limitations might cause interest expense to be deducted by our unitholders in a later period than recognized in the GAAP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There are limits on the deductibility of losses.</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In the case of unitholders subject to the passive loss rules (generally, individuals, closely held corporations and regulated investment companies), any losses generated by us will only be available to offset our future income and cannot be used to offset income from other activities, including passive activities or investments. Unused losses may be deducted when the unitholder disposes of its entire investment in us in a fully taxable transaction with an unrelated party. A unitholder’s share of our net passive income may be offset by unused losses carried over from prior years, but not by losses from other passive activities, including losses from other publicly-traded partnerships.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gain or loss on the disposition of our common units could be different than expected.</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If a unitholder sells its common units, the unitholder will recognize a gain or loss equal to the difference between the amount realized and its tax basis in those common units. Prior distributions in excess of the total net taxable income the unitholder was allocated for a common unit, which decreased its tax basis in that common unit, will, in effect, become taxable income to the unitholder if the common unit is sold at a price greater than its tax basis in that common unit, even if the price received is less than its original cost. A substantial portion of the amount realized, whether or not representing a gain, will likely be ordinary income to that unitholder. Should the IRS successfully contest certain positions we take, a selling unitholder could recognize more gain on the sale of units than would be the case under those positions, without the benefit of decreased taxable income in prior years. In addition, if a unitholder sells its units, the unitholder may incur a tax liability in excess of the amount of cash that unitholder receives from the sale.</w:t>
      </w:r>
    </w:p>
    <w:p>
      <w:pPr>
        <w:spacing w:after="0" w:line="16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i w:val="1"/>
          <w:iCs w:val="1"/>
          <w:color w:val="auto"/>
        </w:rPr>
        <w:t>Tax-exempt entities, regulated investment companies, and foreign persons face unique tax issues from owning common units that may result in additional tax liability or reporting requirements for them.</w:t>
      </w:r>
    </w:p>
    <w:p>
      <w:pPr>
        <w:spacing w:after="0" w:line="170"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An investment in common units by tax-exempt entities, such as employee benefit plans, individual retirement accounts, regulated investment companies, generally known as mutual funds, and non-U.S. persons, raises issues unique to them. For example, virtually all of our income allocated to organizations exempt from federal income tax, including individual retirement accounts and other retirement plans, will be unrelated business taxable income and thus will be taxable to them. Net income from a “qualified publicly-traded partnership” is qualifying income for a regulated investment company, or mutual fund. However, no more than 25% of the value of a regulated investment company’s total assets may be invested in the securities of one or more qualified publicly-traded partnerships. We expect to be treated as a qualified publicly-traded partnership. Distributions, if any, made to non-U.S. persons will be reduced by withholding taxes, at the highest effective tax rate applicable to individuals, and non-U.S. persons will be required to file federal income tax returns and generally pay tax on their share of our taxable income.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Certain information relating to a unitholder’s investment may be subject to special IRS reporting requirements.</w:t>
      </w:r>
    </w:p>
    <w:p>
      <w:pPr>
        <w:spacing w:after="0" w:line="225"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Treasury regulations require taxpayers to report particular information on Form 8886 if they participate in a “reportable transaction.” Unitholders may be required to file this form with the IRS. A transaction may be a reportable transaction based upon any of several factors. The IRS may impose significant penalties on a unitholder for failure to comply with these disclosure requirements. Disclosure and information maintenance obligations are also imposed on “material advisors” that organize, manage or sell interests in reportable transactions, which may require us or our material advisors to maintain and disclose to the IRS certain information relating to unitholders.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 audit of us may result in an adjustment or an audit of a unitholder’s own tax return.</w:t>
      </w:r>
    </w:p>
    <w:p>
      <w:pPr>
        <w:spacing w:after="0" w:line="225" w:lineRule="exact"/>
        <w:rPr>
          <w:sz w:val="20"/>
          <w:szCs w:val="20"/>
          <w:color w:val="auto"/>
        </w:rPr>
      </w:pPr>
    </w:p>
    <w:p>
      <w:pPr>
        <w:jc w:val="both"/>
        <w:ind w:left="60" w:right="159" w:firstLine="648"/>
        <w:spacing w:after="0" w:line="311" w:lineRule="auto"/>
        <w:rPr>
          <w:sz w:val="20"/>
          <w:szCs w:val="20"/>
          <w:color w:val="auto"/>
        </w:rPr>
      </w:pPr>
      <w:r>
        <w:rPr>
          <w:rFonts w:ascii="Arial" w:cs="Arial" w:eastAsia="Arial" w:hAnsi="Arial"/>
          <w:sz w:val="16"/>
          <w:szCs w:val="16"/>
          <w:color w:val="auto"/>
        </w:rPr>
        <w:t>We may be audited by the IRS and tax adjustments could be made. The rights of a unitholder owning less than a 1% interest in us to participate in the income tax audit process are very limited. Further, any adjustments in our tax returns may lead to adjustments in unitholders’ tax returns and may lead to audits of unitholders’ tax returns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adjustments of items unrelated to us. A unitholder will bear the cost of any expenses incurred in connection with an examination of its personal tax return.</w:t>
      </w:r>
    </w:p>
    <w:p>
      <w:pPr>
        <w:spacing w:after="0" w:line="170"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Pursuant to the Bipartisan Budget Act of 2015, if the IRS makes audit adjustments to our income tax returns for tax years beginning after 2017, it may collect any resulting taxes (including any applicable penalties and interest) directly from us. We will generally have the ability to shift any such tax liability to our General Partner and our unitholders in accordance with their interests in us during the year under audit, but there can be no assurance that we will be able to do so under all circumstances. If we are required to make payments of taxes, penalties and interest resulting from audit adjustments, our cash available for distribution to our unitholders might be substantially reduced.</w:t>
      </w:r>
    </w:p>
    <w:p>
      <w:pPr>
        <w:spacing w:after="0" w:line="17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i w:val="1"/>
          <w:iCs w:val="1"/>
          <w:color w:val="auto"/>
        </w:rPr>
        <w:t>Reporting of partnership tax information is complicated and subject to audits; we cannot guarantee conformity to IRS requirements.</w:t>
      </w:r>
    </w:p>
    <w:p>
      <w:pPr>
        <w:spacing w:after="0" w:line="170"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We will furnish each unitholder with a Schedule K-1 that sets forth that unitholder’s allocable share of income, gains, losses and deductions. In preparing these schedules, we will use various accounting and reporting conventions and adopt various depreciation and amortization methods. We cannot guarantee that these schedules will yield a result that conforms to statutory or regulatory requirements or to administrative pronouncements of the IRS. If any of the information on these schedules is successfully challenged by the IRS, the character and amount of items of income, gain, loss or deduction previously reported by unitholders might change, and unitholders might be required to adjust their tax liability for prior years and incur interest and penalties with respect to those adjustments.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Unitholders may lose tax benefits as a result of nonconforming depreciation conventions.</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Because we cannot match transferors and transferees of common units, uniformity of the economic and tax characteristics of our common units to a purchaser of common units of the same class must be maintained. To maintain uniformity and for other reasons, we have adopted certain depreciation and amortization conventions which we believe conform to Treasury Regulations under Section 743(b) of the Internal Revenue Code. A successful IRS challenge to those positions could reduce the amount of tax benefits available to our unitholders. A successful IRS challenge could also affect the timing of these tax benefits or the amount of gain from the sale of common units and could have a negative impact on the value of our common units or result in audit adjustments to a unitholder’s tax returns.</w:t>
      </w:r>
    </w:p>
    <w:p>
      <w:pPr>
        <w:spacing w:after="0" w:line="16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i w:val="1"/>
          <w:iCs w:val="1"/>
          <w:color w:val="auto"/>
        </w:rPr>
        <w:t>As a result of investing in our common units, a unitholder will likely be subject to state and local taxes and return filing requirements in jurisdictions in which it is not domiciled.</w:t>
      </w:r>
    </w:p>
    <w:p>
      <w:pPr>
        <w:spacing w:after="0" w:line="170"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In addition to federal income taxes, unitholders will likely be subject to other taxes, such as state and local taxes, unincorporated business taxes and estate, inheritance or intangible taxes that are imposed by the various jurisdictions in which we do business or own property. A unitholder will likely be required to file state and local income tax returns and pay state and local income taxes in some or all of the various jurisdictions in which we do business or own property and may be subject to penalties for failure to comply with those requirements. We currently conduct business in all 50 states, the District of Columbia and Puerto Rico. It is each unitholder’s responsibility to file all required federal, state and local tax returns.</w:t>
      </w:r>
    </w:p>
    <w:p>
      <w:pPr>
        <w:spacing w:after="0" w:line="195"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i w:val="1"/>
          <w:iCs w:val="1"/>
          <w:color w:val="auto"/>
        </w:rPr>
        <w:t>States may subject partnerships to entity-level taxation in the future, thereby decreasing the amount of cash available to us for distributions and, if we resume paying distributions, potentially causing a decrease in our distribution levels, including a decrease in the minimum quarterly distribution.</w:t>
      </w:r>
    </w:p>
    <w:p>
      <w:pPr>
        <w:spacing w:after="0" w:line="184"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Several states have enacted or are evaluating ways to subject partnerships to entity-level taxation through the imposition of state income, franchise or other forms of taxation. If additional states were to impose a tax upon us as an entity, the cash available for distribution to unitholders would be reduced. The partnership agreement of Ferrellgas Partners provides that if a law is enacted or existing law is modified or interpreted in a manner that subjects Ferrellgas Partners or the operating partnership to taxation as a corporation or otherwise subjects one or both partnerships to entity-level taxation for federal, state or local income tax purposes, provisions of the partnership agreement of Ferrellgas Partners will be subject to change. These changes would include a decrease in the minimum quarterly distribution and the target distribution levels to reflect the impact of those taxes.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Unitholders may have negative tax consequences if we default on our debt or sell assets.</w:t>
      </w:r>
    </w:p>
    <w:p>
      <w:pPr>
        <w:spacing w:after="0" w:line="22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If we default on any of our debt, the lenders will have the right to sue us for non-payment. That action could cause an investment loss and negative tax consequences for our unitholders through the realization of taxable income by unitholders without a corresponding cash distribution. Likewise, if we were to dispose of assets and realize a taxable gain while there is substantial debt outstanding and proceeds of the sale were applied to the debt, our unitholders could have increased taxable income without a corresponding cash distribution.</w:t>
      </w:r>
    </w:p>
    <w:p>
      <w:pPr>
        <w:spacing w:after="0" w:line="176" w:lineRule="exact"/>
        <w:rPr>
          <w:sz w:val="20"/>
          <w:szCs w:val="20"/>
          <w:color w:val="auto"/>
        </w:rPr>
      </w:pPr>
    </w:p>
    <w:p>
      <w:pPr>
        <w:jc w:val="both"/>
        <w:ind w:left="60" w:right="159"/>
        <w:spacing w:after="0" w:line="259" w:lineRule="auto"/>
        <w:rPr>
          <w:sz w:val="20"/>
          <w:szCs w:val="20"/>
          <w:color w:val="auto"/>
        </w:rPr>
      </w:pPr>
      <w:r>
        <w:rPr>
          <w:rFonts w:ascii="Arial" w:cs="Arial" w:eastAsia="Arial" w:hAnsi="Arial"/>
          <w:sz w:val="18"/>
          <w:szCs w:val="18"/>
          <w:i w:val="1"/>
          <w:iCs w:val="1"/>
          <w:color w:val="auto"/>
        </w:rPr>
        <w:t>A unitholder whose common units are the subject of a securities loan (e.g., a loan to a “short seller” to cover a short sale of common units) may be deemed to have disposed of those common units. If so, the unitholder would no longer be treated for tax purposes as a partner with respect to those common units during the period of the loan and may recognize gain or loss from the disposition.</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Because there are no specific rules governing the U.S. federal income tax consequences of loaning a partnership interest, a unitholder whose common units are the subject of a securities loan may be deemed to have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Conflicts of interest could arise as a result of the relationships between us, on the one hand, and our general partner and its affiliates, on the other. The directors and officers of our general partner have fiduciary duties to manage our general partner in a manner beneficial to our general partner and its stockholder. At the same time, our general partner has a contractual good faith duty of care to manage us in a manner the general partner reasonably believes to be in, or not inconsistent with, our best interests. The contractual duties of our general partner to us and our unitholders, therefore, may conflict with the fiduciary duties of the directors and officers of our general partner to our general partner and its stockholder.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Matters in which, and reasons that, such conflicts of interest may arise include:</w:t>
      </w:r>
    </w:p>
    <w:p>
      <w:pPr>
        <w:spacing w:after="0" w:line="225" w:lineRule="exact"/>
        <w:rPr>
          <w:sz w:val="20"/>
          <w:szCs w:val="20"/>
          <w:color w:val="auto"/>
        </w:rPr>
      </w:pPr>
    </w:p>
    <w:p>
      <w:pPr>
        <w:jc w:val="both"/>
        <w:ind w:left="1020" w:right="179" w:hanging="322"/>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decisions of our general partner with respect to the amount and timing of our cash expenditures, borrowings, acquisitions, issuances of additional securities and changes in reserves in any quarter may affect the amount of incentive distributions we are obligated to pay our general partner;</w:t>
      </w:r>
    </w:p>
    <w:p>
      <w:pPr>
        <w:spacing w:after="0" w:line="183" w:lineRule="exact"/>
        <w:rPr>
          <w:rFonts w:ascii="Arial" w:cs="Arial" w:eastAsia="Arial" w:hAnsi="Arial"/>
          <w:sz w:val="18"/>
          <w:szCs w:val="18"/>
          <w:color w:val="auto"/>
        </w:rPr>
      </w:pPr>
    </w:p>
    <w:p>
      <w:pPr>
        <w:ind w:left="1020" w:right="259" w:hanging="322"/>
        <w:spacing w:after="0" w:line="286"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borrowings do not constitute a breach of any duty owed by our general partner to our unitholders even if these borrowings have the purpose or effect of directly or indirectly enabling us to make distributions to the holder of our incentive distribution rights, which is currently our general partner;</w:t>
      </w:r>
    </w:p>
    <w:p>
      <w:pPr>
        <w:spacing w:after="0" w:line="165" w:lineRule="exact"/>
        <w:rPr>
          <w:rFonts w:ascii="Arial" w:cs="Arial" w:eastAsia="Arial" w:hAnsi="Arial"/>
          <w:sz w:val="17"/>
          <w:szCs w:val="17"/>
          <w:color w:val="auto"/>
        </w:rPr>
      </w:pPr>
    </w:p>
    <w:p>
      <w:pPr>
        <w:ind w:left="1020" w:hanging="322"/>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do not have any employees and rely solely on employees of our general partner and its affiliates;</w:t>
      </w:r>
    </w:p>
    <w:p>
      <w:pPr>
        <w:spacing w:after="0" w:line="236" w:lineRule="exact"/>
        <w:rPr>
          <w:rFonts w:ascii="Arial" w:cs="Arial" w:eastAsia="Arial" w:hAnsi="Arial"/>
          <w:sz w:val="17"/>
          <w:szCs w:val="17"/>
          <w:color w:val="auto"/>
        </w:rPr>
      </w:pPr>
    </w:p>
    <w:p>
      <w:pPr>
        <w:ind w:left="1020" w:right="259" w:hanging="322"/>
        <w:spacing w:after="0" w:line="286"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under the terms of the partnership agreements of Ferrellgas Partners and the operating partnership, we must reimburse our general partner and its affiliates for costs incurred in managing and operating us, including costs incurred in rendering corporate staff and support services to us;</w:t>
      </w:r>
    </w:p>
    <w:p>
      <w:pPr>
        <w:spacing w:after="0" w:line="165" w:lineRule="exact"/>
        <w:rPr>
          <w:rFonts w:ascii="Arial" w:cs="Arial" w:eastAsia="Arial" w:hAnsi="Arial"/>
          <w:sz w:val="17"/>
          <w:szCs w:val="17"/>
          <w:color w:val="auto"/>
        </w:rPr>
      </w:pPr>
    </w:p>
    <w:p>
      <w:pPr>
        <w:ind w:left="1020" w:right="319" w:hanging="322"/>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general partner is not restricted from causing us to pay it or its affiliates for any services rendered on terms that are fair and reasonable to us or causing us to enter into additional contractual arrangements with any of such entities;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299" w:hanging="322"/>
        <w:spacing w:after="0" w:line="286"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the partnership agreements of Ferrellgas Partners and the operating partnership nor any of the other agreements, contracts and arrangements between us, on the one hand, and our general partner and its affiliates, on the other, are or will be the result of arm’s-length negotiations;</w:t>
      </w:r>
    </w:p>
    <w:p>
      <w:pPr>
        <w:spacing w:after="0" w:line="165" w:lineRule="exact"/>
        <w:rPr>
          <w:rFonts w:ascii="Arial" w:cs="Arial" w:eastAsia="Arial" w:hAnsi="Arial"/>
          <w:sz w:val="17"/>
          <w:szCs w:val="17"/>
          <w:color w:val="auto"/>
        </w:rPr>
      </w:pPr>
    </w:p>
    <w:p>
      <w:pPr>
        <w:ind w:left="1020" w:right="259" w:hanging="322"/>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whenever possible, our general partner limits our liability under contractual arrangements to all or a portion of our assets, with the other party thereto having no recourse against our general partner or its assets;</w:t>
      </w:r>
    </w:p>
    <w:p>
      <w:pPr>
        <w:spacing w:after="0" w:line="123" w:lineRule="exact"/>
        <w:rPr>
          <w:rFonts w:ascii="Arial" w:cs="Arial" w:eastAsia="Arial" w:hAnsi="Arial"/>
          <w:sz w:val="16"/>
          <w:szCs w:val="16"/>
          <w:color w:val="auto"/>
        </w:rPr>
      </w:pPr>
    </w:p>
    <w:p>
      <w:pPr>
        <w:ind w:left="1020" w:right="199" w:hanging="322"/>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partnership agreements of Ferrellgas Partners and the operating partnership permit our general partner to make these limitations even if we could have obtained more favorable terms if our general partner had not limited its liability;</w:t>
      </w:r>
    </w:p>
    <w:p>
      <w:pPr>
        <w:spacing w:after="0" w:line="183" w:lineRule="exact"/>
        <w:rPr>
          <w:rFonts w:ascii="Arial" w:cs="Arial" w:eastAsia="Arial" w:hAnsi="Arial"/>
          <w:sz w:val="18"/>
          <w:szCs w:val="18"/>
          <w:color w:val="auto"/>
        </w:rPr>
      </w:pPr>
    </w:p>
    <w:p>
      <w:pPr>
        <w:ind w:left="1020" w:right="199" w:hanging="322"/>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agreements between us and our general partner or its affiliates will not grant to our unitholders, separate and apart from us, the right to enforce the obligations of our general partner or such affiliates in favor of us; therefore, our general partner will be primarily responsible for enforcing those obligations against itself or such affiliates;</w:t>
      </w:r>
    </w:p>
    <w:p>
      <w:pPr>
        <w:spacing w:after="0" w:line="186" w:lineRule="exact"/>
        <w:rPr>
          <w:rFonts w:ascii="Arial" w:cs="Arial" w:eastAsia="Arial" w:hAnsi="Arial"/>
          <w:sz w:val="18"/>
          <w:szCs w:val="18"/>
          <w:color w:val="auto"/>
        </w:rPr>
      </w:pPr>
    </w:p>
    <w:p>
      <w:pPr>
        <w:ind w:left="1020" w:right="359" w:hanging="322"/>
        <w:spacing w:after="0" w:line="30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general partner may exercise its limited right to call for and purchase common units as provided in the partnership agreement of Ferrellgas Partners or assign that right to one of its affiliates or to us;</w:t>
      </w:r>
    </w:p>
    <w:p>
      <w:pPr>
        <w:spacing w:after="0" w:line="146" w:lineRule="exact"/>
        <w:rPr>
          <w:rFonts w:ascii="Arial" w:cs="Arial" w:eastAsia="Arial" w:hAnsi="Arial"/>
          <w:sz w:val="17"/>
          <w:szCs w:val="17"/>
          <w:color w:val="auto"/>
        </w:rPr>
      </w:pPr>
    </w:p>
    <w:p>
      <w:pPr>
        <w:ind w:left="1020" w:right="79" w:hanging="322"/>
        <w:spacing w:after="0" w:line="27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partnership agreements provide that it will not constitute a breach of our general partner’s fiduciary duties to us for its affiliates to engage in activities of the type conducted by us, other than retail propane sales to end users in the continental United States in the manner engaged in by our general partner immediately prior to our initial public offering, even if these activities are in direct competition with us;</w:t>
      </w:r>
    </w:p>
    <w:p>
      <w:pPr>
        <w:spacing w:after="0" w:line="171" w:lineRule="exact"/>
        <w:rPr>
          <w:rFonts w:ascii="Arial" w:cs="Arial" w:eastAsia="Arial" w:hAnsi="Arial"/>
          <w:sz w:val="17"/>
          <w:szCs w:val="17"/>
          <w:color w:val="auto"/>
        </w:rPr>
      </w:pPr>
    </w:p>
    <w:p>
      <w:pPr>
        <w:ind w:left="1020" w:hanging="32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 and its affiliates have no obligation to present business opportunities to us;</w:t>
      </w:r>
    </w:p>
    <w:p>
      <w:pPr>
        <w:spacing w:after="0" w:line="225" w:lineRule="exact"/>
        <w:rPr>
          <w:rFonts w:ascii="Arial" w:cs="Arial" w:eastAsia="Arial" w:hAnsi="Arial"/>
          <w:sz w:val="18"/>
          <w:szCs w:val="18"/>
          <w:color w:val="auto"/>
        </w:rPr>
      </w:pPr>
    </w:p>
    <w:p>
      <w:pPr>
        <w:ind w:left="1020" w:right="319" w:hanging="322"/>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general partner selects the attorneys, accountants and others who perform services for us, and these persons may also perform services for our general partner and its affiliates; however, our general partner is authorized to retain separate counsel for us or our unitholders, depending on the nature of the conflict that arises; and</w:t>
      </w:r>
    </w:p>
    <w:p>
      <w:pPr>
        <w:spacing w:after="0" w:line="186" w:lineRule="exact"/>
        <w:rPr>
          <w:rFonts w:ascii="Arial" w:cs="Arial" w:eastAsia="Arial" w:hAnsi="Arial"/>
          <w:sz w:val="18"/>
          <w:szCs w:val="18"/>
          <w:color w:val="auto"/>
        </w:rPr>
      </w:pPr>
    </w:p>
    <w:p>
      <w:pPr>
        <w:ind w:left="1020" w:right="99" w:hanging="322"/>
        <w:spacing w:after="0" w:line="296"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James E. Ferrell is the Interim Chief Executive Officer and President of our general partner and the Chairman of the Board of Directors of our general partner. Mr. Ferrell also owns other companies with whom we may, from time to time, conduct transactions in the ordinary course of our business. Mr. Ferrell’s ownership of these entities may conflict with his duties as an officer or director of our general partner, including with respect to our relationship and conduct of business with any of Mr. Ferrell’s companies.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Fiduciary Responsibilities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Unless otherwise provided for in a partnership agreement, Delaware law generally requires a general partner of a Delaware limited partnership to adhere to fiduciary duty standards under which it owes its limited partners the highest duties of good faith, fairness and loyalty and which generally prohibit the general partner from taking any action or engaging in any transaction as to which it has a conflict of interest. The partnership agreements of both Ferrellgas Partners and the operating partnership, as permitted by Delaware law, unconditionally eliminate the default fiduciary duty standards and require the general partner to adhere to the contractual good faith duty of care set forth in those agreements. Specifically, the general partner need only take actions that it, as general partner, reasonably believes to be in, or not inconsistent with, the best interest of Ferrellgas Partners and the operating partnership. Thus, neither the general partner nor Ferrellgas Partners owes traditional fiduciary duties to the unitholders.</w:t>
      </w:r>
    </w:p>
    <w:p>
      <w:pPr>
        <w:spacing w:after="0" w:line="181"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The partnership agreements of Ferrellgas Partners and the operating partnership expressly permit our general partner to resolve conflicts of interest between itself or its affiliates, on the one hand, and us or our unitholders, on the other, and to consider, in resolving such conflicts of interest, the interests of other parties in addition to the interests of our unitholders. In addition, the partnership agreement of Ferrellgas Partners provides that a purchaser of common units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is deemed to have consented to specified conflicts of interest and actions of our general partner and its affiliates that might otherwise be prohibited, including those described above, and to have agreed that such conflicts of interest and actions do not constitute a breach by our general partner of any duty stated or implied by law or equity. Our general partner will not be in breach of its obligations under the partnership agreements of Ferrellgas Partners or the operating partnership or its duties to us or our unitholders if the resolution of such conflict is fair and reasonable to us. Under the partnership agreements, any conflict of interest and any resolution thereof will conclusively be deemed fair and reasonable to us if it is (i) approved by the audit committee of our general partner, or (ii) on terms no less favorable to us than those generally being provided to or available from unrelated third parties or (iii) fair to us, taking into account the totality of the relationships between the parties involved (including other transactions that may be particularly favorable or advantageous to us). The latitude given in the partnership agreements to our general partner in resolving conflicts of interest may significantly limit the ability of a unitholder to challenge what might, in the absence of the partnership agreement provisions eliminating default fiduciary duties be a breach of fiduciary duty.</w:t>
      </w:r>
    </w:p>
    <w:p>
      <w:pPr>
        <w:spacing w:after="0" w:line="17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partnership agreements of Ferrellgas Partners and the operating partnership expressly limit the liability of our general partner by providing that our general partner, its affiliates and their respective officers and directors will not be liable for monetary damages to us, our unitholders or assignees thereof for errors of judgment or for any acts or omissions if our general partner and such other persons acted in good faith. In addition, we are required to indemnify our general partner, its affiliates and their respective officers, directors, employees, agents and trustees to the fullest extent permitted by law against liabilities, costs and expenses incurred by our general partner or such other persons if our general partner or such persons acted in good faith and in a manner it or they reasonably believed to be in, or (in the case of a person other than our general partner) not opposed to, the best interests of us and, with respect to any criminal proceedings, had no reasonable cause to believe the conduct was unlawful.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own or lease the following transportation equipment at July 31, 2020:</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 Owned</w:t>
            </w:r>
          </w:p>
        </w:tc>
        <w:tc>
          <w:tcPr>
            <w:tcW w:w="9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9"/>
              </w:rPr>
              <w:t>% Leased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Approximate Total</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Truck tractors</w:t>
            </w:r>
          </w:p>
        </w:tc>
        <w:tc>
          <w:tcPr>
            <w:tcW w:w="1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Propane transport trailers</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Portable tank delivery trucks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57 %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Portable tank exchange delivery trailers</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89 %</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11 %</w:t>
            </w: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Bulk propane delivery trucks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58 %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Pickup and service trucks</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43 %</w:t>
            </w:r>
          </w:p>
        </w:tc>
        <w:tc>
          <w:tcPr>
            <w:tcW w:w="120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Passenger vehicles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74 %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trailers</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Railroad tank cars</w:t>
            </w:r>
          </w:p>
        </w:tc>
        <w:tc>
          <w:tcPr>
            <w:tcW w:w="1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The propane transport trailers have an average capacity of approximately 10,000 gallons. The bulk propane delivery trucks are generally fitted with tanks ranging in size from 2,600 to 3,500 gallons. Each railroad tank car has a capacity of approximately 30,000 gallons.</w:t>
      </w:r>
    </w:p>
    <w:p>
      <w:pPr>
        <w:spacing w:after="0" w:line="18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typically manage our propane distribution locations using a structure where one location, referred to as a service center, is staffed to provide oversight and management to multiple distribution locations, referred to as service units. At July 31, 2020, our propane distribution locations were comprised of 79 service centers and 906 service units. The service unit locations utilize hand-held computers and cellular or satellite technology to communicate with management typically located in the associated service center. We believe this structure together with our technology platform allows us to more efficiently route and schedule customer deliveries and significantly reduces the need for daily on-site management.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648"/>
        <w:spacing w:after="0" w:line="263" w:lineRule="auto"/>
        <w:rPr>
          <w:sz w:val="20"/>
          <w:szCs w:val="20"/>
          <w:color w:val="auto"/>
        </w:rPr>
      </w:pPr>
      <w:r>
        <w:rPr>
          <w:rFonts w:ascii="Arial" w:cs="Arial" w:eastAsia="Arial" w:hAnsi="Arial"/>
          <w:sz w:val="18"/>
          <w:szCs w:val="18"/>
          <w:color w:val="auto"/>
        </w:rPr>
        <w:t>We also distributed propane for portable tank exchanges from 126 company-owned distributors and 6 independently-owned distributors at July 31, 2020. In addition, we had 11 company-owned portable tank exchange production facilities at July 31, 2020.</w:t>
      </w:r>
    </w:p>
    <w:p>
      <w:pPr>
        <w:spacing w:after="0" w:line="184"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We owned approximately 49.9 million gallons of propane storage capacity at our propane distribution locations at July 31, 2020. We owned our land and buildings in the local markets of approximately 60% of our operating locations and leased the remaining facilities on terms customary in the industry at July 31, 2020.</w:t>
      </w:r>
    </w:p>
    <w:p>
      <w:pPr>
        <w:spacing w:after="0" w:line="184"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We owned approximately 0.8 million propane tanks at July 31, 2020, most of which are located on customer property and rented to those customers. We also owned approximately 4.3 million portable propane cylinders at July 31, 2020, most of which are used by us to deliver propane to our portable tank exchange customers and to deliver propane to our industrial/commercial customers.</w:t>
      </w:r>
    </w:p>
    <w:p>
      <w:pPr>
        <w:spacing w:after="0" w:line="187" w:lineRule="exact"/>
        <w:rPr>
          <w:sz w:val="20"/>
          <w:szCs w:val="20"/>
          <w:color w:val="auto"/>
        </w:rPr>
      </w:pPr>
    </w:p>
    <w:p>
      <w:pPr>
        <w:ind w:left="60" w:right="979" w:firstLine="648"/>
        <w:spacing w:after="0" w:line="308" w:lineRule="auto"/>
        <w:rPr>
          <w:sz w:val="20"/>
          <w:szCs w:val="20"/>
          <w:color w:val="auto"/>
        </w:rPr>
      </w:pPr>
      <w:r>
        <w:rPr>
          <w:rFonts w:ascii="Arial" w:cs="Arial" w:eastAsia="Arial" w:hAnsi="Arial"/>
          <w:sz w:val="17"/>
          <w:szCs w:val="17"/>
          <w:color w:val="auto"/>
        </w:rPr>
        <w:t>At July 31, 2020, we leased approximately 57.8 million gallons of propane storage capacity located at underground storage facilities and pipelines at various locations around the United States.</w:t>
      </w:r>
    </w:p>
    <w:p>
      <w:pPr>
        <w:spacing w:after="0" w:line="146"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At July 31, 2020, we leased 73,988 square feet of office space at separate locations that comprise our corporate headquarters in the Kansas City metropolitan area.</w:t>
      </w:r>
    </w:p>
    <w:p>
      <w:pPr>
        <w:spacing w:after="0" w:line="170"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believe that we have satisfactory title to or valid rights to use all of our material properties. Although some of those properties may be subject to liabilities and leases, liens for taxes not yet currently due and payable and immaterial encumbrances, easements and restrictions, we do not believe that any such burdens will materially interfere with the continued use of such properties in our business. We believe that we have obtained, or are in the process of obtaining, all required material approvals. These approvals include authorizations, orders, licenses, permits, franchises, consents of, registrations, qualifications and filings with, the various state and local governmental and regulatory authorities which relate to our ownership of properties or to our operations.</w:t>
      </w:r>
    </w:p>
    <w:p>
      <w:pPr>
        <w:spacing w:after="0" w:line="173"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operations are subject to all operating hazards and risks normally incidental to handling, storing, transporting and otherwise providing for use by consumers of combustible liquids such as propane and, prior to the sales of midstream operations in fiscal 2018, crude oil. As a result, at any given time, we can be threatened with or named as a defendant in various lawsuits arising in the ordinary course of business. Other than as discussed below, we are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our consolidated financial condition, results of operations and cash flows.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Tank fill level litigation</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have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we reached a settlement with the direct customers, pursuant to which we agreed to pay a total of $6.25 million to resolve all claims asserted by the putative direct purchaser class. With respect to the indirect customers, the district court exercised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supplemental jurisdiction over the remaining state law claims, but then granted in part our pleadings-based motion and dismissed 11 of the 24 remaining state law claims. As a result, there are 13 remaining state law claims brought by a putative class of indirect customers. We believe we have strong defenses and intend to vigorously defend ourselves against these remaining claims. We do not believe loss is probable or reasonably estimable at this time related to the putative class action lawsuit.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Eddystone litigation</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We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we transferred assets out of JTS prior to the sale of the membership interest in JTS to Jamex Transfer Holdings, and that those transfers should be avoided so that the assets can be used to satisfy the amount owed by JTS to Eddystone as a result of the arbitration. Eddystone also alleges that JTS was an “alter ego” of Bridger and Ferrellgas and that Bridger and Ferrellgas breached fiduciary duties owed to Eddystone as a creditor of JTS. We believe that we and Bridger have valid defenses to these claims and to Eddystone’s primary claim against JTS for breach of contract. The lawsuit does not specify a specific amount of damages that Eddystone is seeking; however, we believe that the amount of such damages, if ultimately owed to Eddystone, could be material to us. We intend to vigorously defend this claim. On August 24, 2017, we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we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386"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20" w:right="1039" w:hanging="97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UNITHOLDER AND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 for Ferrellgas Partners</w:t>
      </w:r>
    </w:p>
    <w:p>
      <w:pPr>
        <w:spacing w:after="0" w:line="229"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Our common units represent limited partner interests in Ferrellgas Partners and are listed and traded on the OTC Pink Market under the symbol “FGPR” as of July 31, 2020 and were listed on the New York Stock Exchange (the “NYSE”) under the symbol “FGP” as of July 31, 2019.</w:t>
      </w:r>
    </w:p>
    <w:p>
      <w:pPr>
        <w:spacing w:after="0" w:line="184"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As of August 31, 2020, we had 399 common unitholders of record. That common unitholder figure does not include a substantially greater number of holders who are “street name” or beneficial holders and whose units are held of record by banks, brokers, and other institutions.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 by Ferrellgas Partners</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have not paid any cash distributions to our common unitholders since the distribution paid in the first quarter of fiscal 2019 for the three months ended July 31, 2018, are currently prohibited from paying cash distributions to our common unitholders and do not anticipate making any such cash distributions in the foreseeable future. To the extent we are not precluded from doing so in the future by restrictions in our debt agreements or other constraints, we expect to make quarterly cash distributions of our available cash. Available cash is defined in our partnership agreement as, generally, the sum of our consolidated cash receipts less consolidated cash disbursements and changes in cash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reserves established by our general partner for future requirements. To the extent necessary and due to the seasonal nature of our operations, we will generally reserve a portion of the cash inflows from our second and third fiscal quarters for distributions during our first and fourth fiscal quarters.</w:t>
      </w:r>
    </w:p>
    <w:p>
      <w:pPr>
        <w:spacing w:after="0" w:line="18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As more fully described in Item 7. “Management’s Discussion and Analysis of Financial Condition and Results of Operations – Financial Covenants,” the indenture governing the outstanding notes of Ferrellgas Partners due June 15, 2020 and the agreements governing the operating partnership’s indebtedness contain various covenants that limit our ability to, among other things, make distribution payments to our common unitholders. If we are unsuccessful with our strategy to reduce debt and interest expense, we will continue to be restricted from making distribution payments to our common unitholders. See “Management’s Discussion and Analysis of Financial Condition and Results of Operations —Recent Developments – Forbearance Agreement with respect to Ferrellgas Partners’ 8.625% Unsecured Senior Notes due June 15, 2020” above for additional discussion on the Ferrellgas Partners Notes.</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none during fiscal 2020.</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none during the fourth quarter of fiscal 2020.</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Ferrellgas Partners Tax Matters</w:t>
      </w:r>
    </w:p>
    <w:p>
      <w:pPr>
        <w:spacing w:after="0" w:line="229"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Ferrellgas Partners is a master limited partnership and thus not subject to federal income taxes. Instead, our common unitholders are required to report for income tax purposes their allocable share of our income, gains, losses, deductions and credits, regardless of whether we make distributions to our common unitholders. Accordingly, each common unitholder should consult its own tax advisor in analyzing the federal, state, and local tax consequences applicable to its ownership or disposition of our common units. Ferrellgas Partners reports its tax information on a calendar year basis, while financial reporting is based on a fiscal year ending July 31.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Equity of Other Registrants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There is no established public trading market for the common equity of the operating partnership, Ferrellgas Partners Finance Corp. or Ferrellgas Finance Corp. Our general partner owns all of the general partner interest, and Ferrellgas Partners owns all of the limited partner interest, in the operating partnership. All of the common equity of Ferrellgas Partners Finance Corp. is held by Ferrellgas Partners and all of the common equity of Ferrellgas Finance Corp. is held by the operating partnership. There are no equity securities of the operating partnership, Ferrellgas Partners Finance Corp. or Ferrellgas Finance Corp. authorized for issuance under any equity compensation plan. During fiscal 2020, there were no issuances of securities of the operating partnership, Ferrellgas Partners Finance Corp. or Ferrellgas Finance Corp.</w:t>
      </w:r>
    </w:p>
    <w:p>
      <w:pPr>
        <w:spacing w:after="0" w:line="166"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Neither Ferrellgas Partners Finance Corp. nor Ferrellgas Finance Corp. declared or paid any cash dividends on its common equity during fiscal 2020 or fiscal 2019. The operating partnership may distribute cash to its partners at least four times per fiscal year, as well as any other time necessary (including in connection with acquisitions). See Item 7.</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 Liquidity and Capital Resources – Financing Activities – Distributions” for a discussion of its distributions during fiscal 2020. See Item 7. “Management’s Discussion and Analysis of Financial Condition and Results of Operations - Liquidity and Capital Resources” for a discussion of the financial tests and covenants which place limits on the amount of cash that the operating partnership can use to pay distributions.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Ferrellgas qualifies as a smaller reporting company as defined in Item 10(f)(1) of SEC Regulation S-K, and is not required to provide the information required by this Item. Ferrellgas has elected to provide select data for the fiscal years ended July 31, 2020 and 2019. The following tables present selected consolidated historical financial and operating data for Ferrellgas Partners and the operating partnership.</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Ferrellgas Partners, L.P.</w:t>
            </w:r>
          </w:p>
        </w:tc>
        <w:tc>
          <w:tcPr>
            <w:tcW w:w="0" w:type="dxa"/>
            <w:vAlign w:val="bottom"/>
          </w:tcPr>
          <w:p>
            <w:pPr>
              <w:spacing w:after="0"/>
              <w:rPr>
                <w:sz w:val="1"/>
                <w:szCs w:val="1"/>
                <w:color w:val="auto"/>
              </w:rPr>
            </w:pPr>
          </w:p>
        </w:tc>
      </w:tr>
      <w:tr>
        <w:trPr>
          <w:trHeight w:val="142"/>
        </w:trPr>
        <w:tc>
          <w:tcPr>
            <w:tcW w:w="6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per unit data)</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right"/>
              <w:ind w:right="591"/>
              <w:spacing w:after="0" w:line="142" w:lineRule="exact"/>
              <w:rPr>
                <w:sz w:val="20"/>
                <w:szCs w:val="20"/>
                <w:color w:val="auto"/>
              </w:rPr>
            </w:pPr>
            <w:r>
              <w:rPr>
                <w:rFonts w:ascii="Arial" w:cs="Arial" w:eastAsia="Arial" w:hAnsi="Arial"/>
                <w:sz w:val="14"/>
                <w:szCs w:val="14"/>
                <w:b w:val="1"/>
                <w:bCs w:val="1"/>
                <w:color w:val="auto"/>
              </w:rPr>
              <w:t>Year Ended July 31,</w:t>
            </w:r>
          </w:p>
        </w:tc>
        <w:tc>
          <w:tcPr>
            <w:tcW w:w="0" w:type="dxa"/>
            <w:vAlign w:val="bottom"/>
          </w:tcPr>
          <w:p>
            <w:pPr>
              <w:spacing w:after="0"/>
              <w:rPr>
                <w:sz w:val="1"/>
                <w:szCs w:val="1"/>
                <w:color w:val="auto"/>
              </w:rPr>
            </w:pPr>
          </w:p>
        </w:tc>
      </w:tr>
      <w:tr>
        <w:trPr>
          <w:trHeight w:val="142"/>
        </w:trPr>
        <w:tc>
          <w:tcPr>
            <w:tcW w:w="6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1,497,826</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Loss on asset sales and disposals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Ferrellgas Partners, L.P.</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unitholders’ interest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deficiency (1)</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(546,043)</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1,668,190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 (2)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1,646,396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deficit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(1,208,268)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 (unaudited):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Propane sales volumes (gallons)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873,546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23,013</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Growth</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75,911</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Supplemental data (unaudited):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265,480</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230,023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Working capital is the sum of current assets less current liabilities.</w:t>
      </w:r>
    </w:p>
    <w:p>
      <w:pPr>
        <w:spacing w:after="0" w:line="225" w:lineRule="exact"/>
        <w:rPr>
          <w:rFonts w:ascii="Arial" w:cs="Arial" w:eastAsia="Arial" w:hAnsi="Arial"/>
          <w:sz w:val="18"/>
          <w:szCs w:val="18"/>
          <w:color w:val="auto"/>
        </w:rPr>
      </w:pPr>
    </w:p>
    <w:p>
      <w:pPr>
        <w:ind w:left="380" w:right="179" w:hanging="330"/>
        <w:spacing w:after="0" w:line="259"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July 31, 2019, this includes the $275.0 million term loan under our Senior Secured Credit Facility that was then classified as current. As of July 31, 2020, the Senior Secured Credit Facility was terminated. See Item 7 – “Management’s Discussion and Analysis of Financial Condition and Results of Operations – Liquidity and Capital Resources”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Reconciliation of Net loss attributable to Ferrellgas Partners, L.P. to EBITDA, Adjusted EBITDA,</w:t>
            </w:r>
          </w:p>
        </w:tc>
        <w:tc>
          <w:tcPr>
            <w:tcW w:w="18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Ferrellgas Partners, L.P.</w:t>
            </w:r>
          </w:p>
        </w:tc>
        <w:tc>
          <w:tcPr>
            <w:tcW w:w="0" w:type="dxa"/>
            <w:vAlign w:val="bottom"/>
          </w:tcPr>
          <w:p>
            <w:pPr>
              <w:spacing w:after="0"/>
              <w:rPr>
                <w:sz w:val="1"/>
                <w:szCs w:val="1"/>
                <w:color w:val="auto"/>
              </w:rPr>
            </w:pPr>
          </w:p>
        </w:tc>
      </w:tr>
      <w:tr>
        <w:trPr>
          <w:trHeight w:val="106"/>
        </w:trPr>
        <w:tc>
          <w:tcPr>
            <w:tcW w:w="6820" w:type="dxa"/>
            <w:vAlign w:val="bottom"/>
            <w:gridSpan w:val="2"/>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Distributable cash flow attributable to equity investors, Distributable cash flow attributable to common</w:t>
            </w:r>
          </w:p>
        </w:tc>
        <w:tc>
          <w:tcPr>
            <w:tcW w:w="180" w:type="dxa"/>
            <w:vAlign w:val="bottom"/>
          </w:tcPr>
          <w:p>
            <w:pPr>
              <w:spacing w:after="0"/>
              <w:rPr>
                <w:sz w:val="12"/>
                <w:szCs w:val="12"/>
                <w:color w:val="auto"/>
              </w:rPr>
            </w:pPr>
          </w:p>
        </w:tc>
        <w:tc>
          <w:tcPr>
            <w:tcW w:w="19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 July 31,</w:t>
            </w:r>
          </w:p>
        </w:tc>
        <w:tc>
          <w:tcPr>
            <w:tcW w:w="0" w:type="dxa"/>
            <w:vAlign w:val="bottom"/>
          </w:tcPr>
          <w:p>
            <w:pPr>
              <w:spacing w:after="0"/>
              <w:rPr>
                <w:sz w:val="1"/>
                <w:szCs w:val="1"/>
                <w:color w:val="auto"/>
              </w:rPr>
            </w:pPr>
          </w:p>
        </w:tc>
      </w:t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unitholders and Distributable cash flow excess:</w:t>
            </w:r>
          </w:p>
        </w:tc>
        <w:tc>
          <w:tcPr>
            <w:tcW w:w="18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Ferrellgas Partners, L.P.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Non-cash employee stock ownership plan compensation charge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asset sales and disposals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Severance costs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Legal fees and settlements related to non-core businesses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Provision for doubtful accounts related to non-core businesses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Multi-employer pension plan withdrawal settlement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Lease accounting standard adjustment and other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Adjusted EBITDA (a)</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265,480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cash interest expense (b)</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(182,246)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00"/>
              <w:spacing w:after="0"/>
              <w:rPr>
                <w:sz w:val="20"/>
                <w:szCs w:val="20"/>
                <w:color w:val="auto"/>
              </w:rPr>
            </w:pPr>
            <w:r>
              <w:rPr>
                <w:rFonts w:ascii="Arial" w:cs="Arial" w:eastAsia="Arial" w:hAnsi="Arial"/>
                <w:sz w:val="18"/>
                <w:szCs w:val="18"/>
                <w:color w:val="auto"/>
              </w:rPr>
              <w:t>Maintenance capital expenditures (c)</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(23,240)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paid for taxes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Proceeds from certain asset sales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Distributable cash flow attributable to equity investors (d)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Distributable cash flow attributable to general partner and non-controlling interest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Distributable cash flow attributable to common unitholders (e)</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Distributions paid to common unitholders</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Distributable cash flow excess (f)</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39" w:hanging="330"/>
        <w:spacing w:after="0" w:line="287"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Adjusted EBITDA is a non-GAAP measure. It is calculated as net loss attributable to Ferrellgas Partners, L.P. before income tax expense, interest expense, depreciation and amortization expense, non-cash employee stock ownership plan compensation charge, loss on extinguishment of debt, loss on asset sales and disposals, other (income) expense, net, severance costs, legal fees and settlements related to non-core businesses, provision for doubtful accounts related to non-core businesses, multi-employer pension plan withdrawal settlement, lease accounting standard adjustment and other and net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Adjusted EBITDA or similarly titled measurements used by other companies. Items added into our calculation of Adjusted EBITDA that will not occur on a continuing basis may have associated cash payments. Adjusted EBITDA should be viewed in conjunction with measurements that are computed in accordance with GAAP.</w:t>
      </w:r>
    </w:p>
    <w:p>
      <w:pPr>
        <w:spacing w:after="0" w:line="167" w:lineRule="exact"/>
        <w:rPr>
          <w:rFonts w:ascii="Arial" w:cs="Arial" w:eastAsia="Arial" w:hAnsi="Arial"/>
          <w:sz w:val="16"/>
          <w:szCs w:val="16"/>
          <w:color w:val="auto"/>
        </w:rPr>
      </w:pPr>
    </w:p>
    <w:p>
      <w:pPr>
        <w:ind w:left="380" w:right="359" w:hanging="330"/>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cash interest expense is the sum of interest expense less non-cash interest expense and other income (expense), net. This amount includes interest expense related to the accounts receivable securitization facility.</w:t>
      </w:r>
    </w:p>
    <w:p>
      <w:pPr>
        <w:spacing w:after="0" w:line="146" w:lineRule="exact"/>
        <w:rPr>
          <w:rFonts w:ascii="Arial" w:cs="Arial" w:eastAsia="Arial" w:hAnsi="Arial"/>
          <w:sz w:val="17"/>
          <w:szCs w:val="17"/>
          <w:color w:val="auto"/>
        </w:rPr>
      </w:pPr>
    </w:p>
    <w:p>
      <w:pPr>
        <w:ind w:left="380" w:right="279" w:hanging="330"/>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Maintenance capital expenditures include capitalized expenditures for betterment and replacement of property, plant and equipment, and, from time to time, can include the purchase of assets that are typically leased.</w:t>
      </w:r>
    </w:p>
    <w:p>
      <w:pPr>
        <w:spacing w:after="0" w:line="146" w:lineRule="exact"/>
        <w:rPr>
          <w:rFonts w:ascii="Arial" w:cs="Arial" w:eastAsia="Arial" w:hAnsi="Arial"/>
          <w:sz w:val="17"/>
          <w:szCs w:val="17"/>
          <w:color w:val="auto"/>
        </w:rPr>
      </w:pPr>
    </w:p>
    <w:p>
      <w:pPr>
        <w:jc w:val="both"/>
        <w:ind w:left="380" w:right="139" w:hanging="330"/>
        <w:spacing w:after="0" w:line="311"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Distributable cash flow attributable to equity investors is a non-GAAP measure. It is calculated as Adjusted EBITDA minus net cash interest expense, maintenance capital expenditures, and cash paid for taxes, plus proceeds from certain asset sales. Management considers distributable cash flow attributable to equity investors a meaningful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39"/>
        <w:spacing w:after="0" w:line="273" w:lineRule="auto"/>
        <w:rPr>
          <w:sz w:val="20"/>
          <w:szCs w:val="20"/>
          <w:color w:val="auto"/>
        </w:rPr>
      </w:pPr>
      <w:r>
        <w:rPr>
          <w:rFonts w:ascii="Arial" w:cs="Arial" w:eastAsia="Arial" w:hAnsi="Arial"/>
          <w:sz w:val="17"/>
          <w:szCs w:val="17"/>
          <w:color w:val="auto"/>
        </w:rPr>
        <w:t>measure of the partnership’s ability to declare and pay quarterly distributions to equity investors. Distributable cash flow attributable to equity investors, as management defines it, may not be comparable to distributable cash flow attributable to equity investors or similarly titled measurements used by other corporations and partnerships.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178" w:lineRule="exact"/>
        <w:rPr>
          <w:sz w:val="20"/>
          <w:szCs w:val="20"/>
          <w:color w:val="auto"/>
        </w:rPr>
      </w:pPr>
    </w:p>
    <w:p>
      <w:pPr>
        <w:ind w:left="380" w:right="179" w:hanging="330"/>
        <w:spacing w:after="0" w:line="289"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Distributable cash flow attributable to common unitholders is a non-GAAP measure. It is calculated as Distributable cash flow attributable to equity investors minus distributable cash flow attributable to general partner and non-controlling interest. 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companies. Items added into our calculation of distributable cash flow attributable to common unitholders that will not occur on a continuing basis may have associated cash payments. Distributable cash flow attributable to common unitholders should be viewed in conjunction with measurements that are computed in accordance with GAAP.</w:t>
      </w:r>
    </w:p>
    <w:p>
      <w:pPr>
        <w:spacing w:after="0" w:line="166" w:lineRule="exact"/>
        <w:rPr>
          <w:rFonts w:ascii="Arial" w:cs="Arial" w:eastAsia="Arial" w:hAnsi="Arial"/>
          <w:sz w:val="16"/>
          <w:szCs w:val="16"/>
          <w:color w:val="auto"/>
        </w:rPr>
      </w:pPr>
    </w:p>
    <w:p>
      <w:pPr>
        <w:ind w:left="380" w:right="119" w:hanging="330"/>
        <w:spacing w:after="0" w:line="269"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Distributable cash flow excess is a non-GAAP measure. It is calculated as Distributable cash flow attributable to common unitholders minus Distributions paid to common unitholders. Distributable cash flow excess, if any, is retained to establish reserves for future distributions, to reduce debt, to fund capital expenditures and for other partnership purposes, and any shortage is funded from previously established reserves, cash on hand, or borrowings under our accounts receivable securitization facility or, previously, under our terminated Senior Secured Credit Facility. Management considers Distributable cash flow excess a meaningful measure of the partnership’s ability to effectuate those purposes. Distributable cash flow excess, as management defines it, may not be comparable to distributable cash flow excess or similarly titled measurements used by other corporations and partnerships. Items added into our calculation of distributable cash flow excess that will not occur on a continuing basis may have associated cash payments. Distributable cash flow excess should be viewed in conjunction with measurements that are computed in accordance with GAAP.</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Ferrellgas, L.P.</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tcPr>
          <w:p>
            <w:pPr>
              <w:jc w:val="right"/>
              <w:ind w:right="591"/>
              <w:spacing w:after="0" w:line="142" w:lineRule="exact"/>
              <w:rPr>
                <w:sz w:val="20"/>
                <w:szCs w:val="20"/>
                <w:color w:val="auto"/>
              </w:rPr>
            </w:pPr>
            <w:r>
              <w:rPr>
                <w:rFonts w:ascii="Arial" w:cs="Arial" w:eastAsia="Arial" w:hAnsi="Arial"/>
                <w:sz w:val="14"/>
                <w:szCs w:val="14"/>
                <w:b w:val="1"/>
                <w:bCs w:val="1"/>
                <w:color w:val="auto"/>
              </w:rPr>
              <w:t>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1,497,826</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1,684,392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(49,764)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deficiency (1)</w:t>
            </w:r>
          </w:p>
        </w:tc>
        <w:tc>
          <w:tcPr>
            <w:tcW w:w="20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(169,766)</w:t>
            </w:r>
          </w:p>
        </w:tc>
        <w:tc>
          <w:tcPr>
            <w:tcW w:w="6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1,668,137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1,262,833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 (2)</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502,095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1,646,396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1,457,004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deficit</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(831,991)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 (unaudited):</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Propane sales volumes (gallons)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873,546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20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23,013</w:t>
            </w:r>
          </w:p>
        </w:tc>
        <w:tc>
          <w:tcPr>
            <w:tcW w:w="6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Growth</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41,728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75,911</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Supplemental data (unaudited):</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w:t>
            </w:r>
          </w:p>
        </w:tc>
        <w:tc>
          <w:tcPr>
            <w:tcW w:w="20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265,596</w:t>
            </w:r>
          </w:p>
        </w:tc>
        <w:tc>
          <w:tcPr>
            <w:tcW w:w="6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230,037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Working capital is the sum of current assets less current liabilities.</w:t>
      </w:r>
    </w:p>
    <w:p>
      <w:pPr>
        <w:spacing w:after="0" w:line="225" w:lineRule="exact"/>
        <w:rPr>
          <w:rFonts w:ascii="Arial" w:cs="Arial" w:eastAsia="Arial" w:hAnsi="Arial"/>
          <w:sz w:val="18"/>
          <w:szCs w:val="18"/>
          <w:color w:val="auto"/>
        </w:rPr>
      </w:pPr>
    </w:p>
    <w:p>
      <w:pPr>
        <w:ind w:left="380" w:right="299" w:hanging="330"/>
        <w:spacing w:after="0" w:line="259"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July 31, 2019, this includes the $275.0 million term loan under our Senior Secured Credit Facility that was reclassified from long-term to current. As of July 31, 2020, the Senior Secured Credit Facility was terminated. See Item 7 – “Management’s Discussion and Analysis of Financial Condition and Results of Operations – Liquidity and Capital Resources” for additional discussion.</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Reconciliation of Net Loss to</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Ferrellgas, L.P.</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351"/>
              <w:spacing w:after="0" w:line="142" w:lineRule="exact"/>
              <w:rPr>
                <w:sz w:val="20"/>
                <w:szCs w:val="20"/>
                <w:color w:val="auto"/>
              </w:rPr>
            </w:pPr>
            <w:r>
              <w:rPr>
                <w:rFonts w:ascii="Arial" w:cs="Arial" w:eastAsia="Arial" w:hAnsi="Arial"/>
                <w:sz w:val="14"/>
                <w:szCs w:val="14"/>
                <w:b w:val="1"/>
                <w:bCs w:val="1"/>
                <w:color w:val="auto"/>
              </w:rPr>
              <w:t>Year Ended July 31,</w:t>
            </w:r>
          </w:p>
        </w:tc>
        <w:tc>
          <w:tcPr>
            <w:tcW w:w="0" w:type="dxa"/>
            <w:vAlign w:val="bottom"/>
          </w:tcPr>
          <w:p>
            <w:pPr>
              <w:spacing w:after="0"/>
              <w:rPr>
                <w:sz w:val="1"/>
                <w:szCs w:val="1"/>
                <w:color w:val="auto"/>
              </w:rPr>
            </w:pPr>
          </w:p>
        </w:tc>
      </w:tr>
      <w:tr>
        <w:trPr>
          <w:trHeight w:val="142"/>
        </w:trPr>
        <w:tc>
          <w:tcPr>
            <w:tcW w:w="6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EBITDA and Adjusted EBITDA:</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Non-cash employee stock ownership plan compensation charge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Loss on asset sales and disposals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Provision for doubtful accounts related to non-core businesses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Legal fees and settlements related to non-core businesses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accounting standard adjustment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Multi-employer pension plan withdrawal settlement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 (a)</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265,596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19" w:hanging="330"/>
        <w:spacing w:after="0" w:line="269"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Adjusted EBITDA is a non-GAAP measure. It is calculated as net loss, income tax expense, interest expense, depreciation and amortization expense, non-cash employee stock ownership plan compensation charge loss on extinguishment of debt, loss on asset sales and disposals, other (income) expense, net, provision for doubtful accounts related to non-core businesses, severance costs, legal fees and settlements related to non-core businesses, lease accounting standard adjustment and multi-employer pension plan withdrawal settlement.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Adjusted EBITDA or similarly titled measurements used by other corporations and partnerships. Items added into our calculation of Adjusted EBITDA that will not occur on a continuing basis may have associated cash payments. Adjusted EBITDA should be viewed in conjunction with measurements that are computed in accordance with GAAP.</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capital expenditures fall generally into three categories:</w:t>
      </w:r>
    </w:p>
    <w:p>
      <w:pPr>
        <w:spacing w:after="0" w:line="225" w:lineRule="exact"/>
        <w:rPr>
          <w:sz w:val="20"/>
          <w:szCs w:val="20"/>
          <w:color w:val="auto"/>
        </w:rPr>
      </w:pPr>
    </w:p>
    <w:p>
      <w:pPr>
        <w:ind w:left="1020" w:right="219" w:hanging="322"/>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maintenance capital expenditures, which include capitalized expenditures for betterment and replacement of property, plant and equipment;</w:t>
      </w:r>
    </w:p>
    <w:p>
      <w:pPr>
        <w:spacing w:after="0" w:line="170" w:lineRule="exact"/>
        <w:rPr>
          <w:rFonts w:ascii="Arial" w:cs="Arial" w:eastAsia="Arial" w:hAnsi="Arial"/>
          <w:sz w:val="18"/>
          <w:szCs w:val="18"/>
          <w:color w:val="auto"/>
        </w:rPr>
      </w:pPr>
    </w:p>
    <w:p>
      <w:pPr>
        <w:ind w:left="1020" w:right="439" w:hanging="322"/>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growth capital expenditures, which include expenditures for purchases of both bulk and portable propane tanks and other equipment to facilitate expansion of our customer base and operating capacity; and</w:t>
      </w:r>
    </w:p>
    <w:p>
      <w:pPr>
        <w:spacing w:after="0" w:line="123" w:lineRule="exact"/>
        <w:rPr>
          <w:rFonts w:ascii="Arial" w:cs="Arial" w:eastAsia="Arial" w:hAnsi="Arial"/>
          <w:sz w:val="16"/>
          <w:szCs w:val="16"/>
          <w:color w:val="auto"/>
        </w:rPr>
      </w:pPr>
    </w:p>
    <w:p>
      <w:pPr>
        <w:ind w:left="1020" w:right="219" w:hanging="322"/>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acquisition capital expenditures, which include expenditures related to the acquisition of propane operations and related equipment sales and represent the total cost of acquisitions less working capital acquired.</w:t>
      </w:r>
    </w:p>
    <w:p>
      <w:pPr>
        <w:spacing w:after="0" w:line="120" w:lineRule="exact"/>
        <w:rPr>
          <w:sz w:val="20"/>
          <w:szCs w:val="20"/>
          <w:color w:val="auto"/>
        </w:rPr>
      </w:pPr>
    </w:p>
    <w:p>
      <w:pPr>
        <w:ind w:left="1020" w:right="1059" w:hanging="97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Our management’s discussion and analysis of financial condition and results of operations relates to Ferrellgas Partners and the operating partnership.</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Ferrellgas Partners Finance Corp. and Ferrellgas Finance Corp. have nominal assets, do not conduct any operations and have no employees other than officers. Ferrellgas Partners Finance Corp. serves as co-issuer and co-obligor for debt securities of Ferrellgas Partners, while Ferrellgas Finance Corp. serves as co-issuer and co-obligor for debt securities of the operating partnership. Accordingly, and due to the reduced disclosure format, a discussion of the results of operations, liquidity and capital resources of Ferrellgas Partners Finance Corp. and Ferrellgas Finance Corp. is not presented in this section.</w:t>
      </w:r>
    </w:p>
    <w:p>
      <w:pPr>
        <w:spacing w:after="0" w:line="192"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following is a discussion of our historical financial condition and results of operations and should be read in conjunction with our audited historical consolidated financial statements and accompanying Notes thereto included elsewhere in this Annual Report on Form 10-K.</w:t>
      </w:r>
    </w:p>
    <w:p>
      <w:pPr>
        <w:spacing w:after="0" w:line="184"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 discussions set forth in this section generally refer to Ferrellgas Partners and its consolidated subsidiaries. However, in these discussions there exists one material difference between Ferrellgas Partners and the operating partnership: Ferrellgas Partners has outstanding $357.0 million aggregate principal amount of 8.625% unsecured senior notes due June 15, 2020 and, accordingly, has interest expense that the operating partnership does not have. Ferrellgas Partners’ access to liquidity is dependent on distributions from the operating partnership. See the statements of operations in their respective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coronavirus disease 2019 (COVID-19), which has been declared by the World Health Organization as a “Public Health Emergency of International Concern,” continues to spread and severely impact the economy of the United States and other countries around the world. COVID-19 poses the risk that we or our employees, contractors, suppliers, customers and other business partners may be prevented from or limited in conducting business activities for an indefinite period of time. The outbreak of COVID-19 has already resulted in significant governmental measures being implemented to control the spread of the virus, including quarantines, travel restrictions, manufacturing restrictions, declarations of national emergency and states of emergency, business shutdowns and restrictions on the movement of people throughout the United States and the world. While some of our business operations and support systems are deemed essential in many jurisdictions, we are continuing to assess the impact that COVID-19 may have on our results of operations and financial condition and cannot at this time accurately predict what effects these conditions will have on our operations and sales due to uncertainties relating to the ultimate geographic spread of the virus, the severity of the disease, the duration of the outbreak and the length of the travel restrictions and business closures imposed by governments in different jurisdictions. Additionally, initiatives we have implemented or may implement to slow and/or reduce the impact of COVID-19, such as using staggered start times for drivers, may increase our operating expenses and reduce the efficiency of our operations. Any of the foregoing events or other unforeseen consequences of public health epidemics may have further adverse impacts on U.S. and global economic conditions, including a general slowdown in the U.S. economy, which could decrease demand for our products and have a material adverse effect on our results of operations and financial condition.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Forbearance Agreement with respect to Ferrellgas Partners’ 8.625% Unsecured Senior Notes due June 15, 2020</w:t>
      </w:r>
    </w:p>
    <w:p>
      <w:pPr>
        <w:spacing w:after="0" w:line="23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engaged Moelis &amp; Company LLC as our financial advisor and the law firm of Squire Patton Boggs LLP to assist in our ongoing process to reduce existing debt and address our debt maturities. On June 7, 2020, Ferrellgas Partners and additional Ferrellgas entities entered into a Forbearance Agreement (the “Forbearance Agreement”) with the beneficial owners (or nominees, investment managers, advisors or subadvisors for the beneficial owners, collectively referred to as the “Forbearing Noteholders”) of approximately 77% of the aggregate principal amount of Ferrellgas Partners’ 8.625% unsecured senior notes due June 15, 2020, pursuant to which the Forbearing Noteholders agreed to forbear from exercising any default-related rights and remedies with respect to the Ferrellgas Partners Notes and to direct the trustee thereunder not to take any remedial action. The forbearance period under the Forbearance Agreement expired on August 15, 2020. Following the expiration of the forbearance period, discussions with representatives of the Forbearing Noteholders have continued.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The indenture governing the outstanding notes of Ferrellgas Partners and the agreements governing the operating partnership’s indebtedness contain various covenants that limit our ability to, among other things, make restricted payments and incur additional indebtedness. Our general partner believes that the most restrictive of these covenants are the restricted payments covenants in the indenture governing the outstanding notes of Ferrellgas Partners and the indentures governing the outstanding notes of the operating partnership, which are discussed below.</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Ferrellgas Partners, L.P., the master limited partnership</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indenture governing the outstanding notes of Ferrellgas Partners due June 15, 2020 contains a covenant that restricts the ability of Ferrellgas Partners to make certain restricted payments, including distributions on its common units. Ferrellgas Partners continues to comply with the restrictive covenants with respect to the $357.0 million aggregate principal amount of its unsecured senior notes due June 15, 2020 as Ferrellgas Partners continues to negotiate with the Forbearing Noteholders. Under this covenant, subject to the limited exception described below, Ferrellgas Partners may not make a restricted payment unless its consolidated fixed charge coverage ratio (defined in the indenture generally to mean the ratio of trailing four quarters consolidated EBITDA to consolidated interest expense, both as adjusted for certain, specified items) is at least 1.75x, on a pro forma basis giving effect to the restricted payment and, if applicable,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other specified events. As of July 31, 2020, Ferrellgas Partners’ consolidated fixed charge coverage ratio was 1.40x.</w:t>
      </w:r>
    </w:p>
    <w:p>
      <w:pPr>
        <w:spacing w:after="0" w:line="248"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If the consolidated fixed charge coverage ratio is below 1.75x, Ferrellgas Partners may make restricted payments of up to $50.0 million in total over a sixteen quarter period. As a result of distributions paid to common unitholders in September 2017, December 2017, March 2018, June 2018 and September 2018, while this ratio was less than 1.75x, Ferrellgas Partners has used substantially all of its capacity under the limited exception and therefore is currently restricted by this covenant from making future restricted payments, including distributions to common unitholders. Accordingly, no distributions have been or will be paid to common unitholders for the three months ended July 31, 2020, and the general partner expects that this covenant will continue to prohibit Ferrellgas Partners from making common unit distributions unless and until the outstanding notes of Ferrellgas Partners due 2020 are restructured, refinanced or otherwise satisfied. While there can be no assurance of success, as part of our debt and interest expense reduction strategy, we are presently considering potential solutions to address the recent maturity of the outstanding notes of Ferrellgas Partners due 2020. The potential solutions include, among others, restructuring, refinancing or a transaction to exchange new notes for some or all of these notes. See “Recent Developments – Forbearance Agreement with respect to Ferrellgas Partners’ 8.625% Unsecured Senior Notes due June 15, 2020” above.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Ferrellgas, L.P., the operating partnership</w:t>
      </w:r>
    </w:p>
    <w:p>
      <w:pPr>
        <w:spacing w:after="0" w:line="22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in the indentures governing the operating partnership’s notes, subject to the limited exceptions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July 31, 2020, the operating partnership’s consolidated fixed charge coverage ratio was 1.70x.</w:t>
      </w:r>
    </w:p>
    <w:p>
      <w:pPr>
        <w:spacing w:after="0" w:line="19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Under the covenants in the indentures governing the operating partnership’s unsecured notes, if the consolidated fixed charge coverage ratio is below 1.75x, the operating partnership may still make restricted payments in limited amounts determined under the indentures governing the operating partnership’s unsecured notes. The distributions made by the operating partnership on June 15, 2019 and December 15, 2019 for payment of interest on Ferrellgas Partners’ unsecured senior notes due June 2020 were made from capacity under this limited exception to the ratio requirement under the indentures governing the operating partnership’s unsecured notes.</w:t>
      </w:r>
    </w:p>
    <w:p>
      <w:pPr>
        <w:spacing w:after="0" w:line="178"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indenture governing the operating partnership’s senior secured first lien notes due 2025 contains a similar but, in some respects,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the operating partnership generally may not make a restricted payment unless the operating partnership’s consolidated leverage ratio (defined in the secured notes indenture generally to mean the ratio of 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the operating partnership’s consolidated fixed coverage ratio is at least 1.75x or below 1.75x. As of July 31, 2020, the operating partnership’s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the operating partnership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the operating partnership’s unsecured notes indentures.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With respect to the operating partnership notes, on or about June 24, 2020, a majority of the holders of the outstanding principal amount of each of the (i) 6.50% unsecured senior notes due 2021 (the “2021 Notes”), (ii) 6.75% unsecured senior notes due 2022 (the “2022 Notes”) and (iii) 6.75% unsecured senior notes due 2023 (the “2023 Notes”) issued by Ferrellgas, L.P. and Ferrellgas Finance Corp. delivered a notice to Ferrellgas, L.P., pursuant to the terms of the applicable indentures, removing the existing indenture trustee for such series of notes. In accordance with the terms of the applicable indentures, Ferrellgas, L.P. is in the process of appointing a successor trustee for each series.</w:t>
      </w:r>
    </w:p>
    <w:p>
      <w:pPr>
        <w:spacing w:after="0" w:line="164"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As described above, Ferrellgas Partners’ unsecured notes due 2020 matured on June 15, 2020, and the outstanding principal amount of those notes was due to be paid on that date, together with accrued interest to the maturity</w:t>
      </w:r>
    </w:p>
    <w:p>
      <w:pPr>
        <w:ind w:left="60" w:right="99"/>
        <w:spacing w:after="0" w:line="252" w:lineRule="auto"/>
        <w:rPr>
          <w:sz w:val="20"/>
          <w:szCs w:val="20"/>
          <w:color w:val="auto"/>
        </w:rPr>
      </w:pPr>
      <w:r>
        <w:rPr>
          <w:rFonts w:ascii="Arial" w:cs="Arial" w:eastAsia="Arial" w:hAnsi="Arial"/>
          <w:sz w:val="18"/>
          <w:szCs w:val="18"/>
          <w:color w:val="auto"/>
        </w:rPr>
        <w:t>date. Although the operating partnership has some capacity to make distributions under the operating partnership’s unsecured and secured notes indentures, this capacity will not allow the operating partnership to make distributions to Ferrellgas Partners sufficient to pay the principal of and accrued interest on Ferrellgas Partners’ unsecured senior notes due 2020 that was due at the maturity of those notes. Additionally, the restrictions in these indentures currently limit the ability of the operating partnership to make distributions to Ferrellgas Partners to enable it to pay cash distributions to its unitholders.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and interest expense reduction strategy</w:t>
      </w:r>
    </w:p>
    <w:p>
      <w:pPr>
        <w:spacing w:after="0" w:line="229"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We continue to pursue a strategy to reduce our debt and interest expense. Opportunities include the generation of additional cash flows through accretive acquisitions, continued restructuring or refinancing of existing indebtedness, selling additional assets, maintaining the suspension of Ferrellgas Partners’ common unit distributions, issuing equity or executing one or more debt exchanges. We expect to maintain our debt and interest expense reduction strategy until our consolidated leverage ratio reaches a level that we deem appropriate for our business. See “Risk Factors –Risks Related to our Business and Industry –There is substantial doubt about our ability to continue as a going concern, which will affect our ability to obtain future financing and may require us to curtail our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Termination of Bridger agreement with Jamex Marketing, LLC</w:t>
      </w:r>
    </w:p>
    <w:p>
      <w:pPr>
        <w:spacing w:after="0" w:line="229"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In connection with the closing of our acquisition of Bridger in June 2015, Bridger entered into a ten-year transportation and logistics agreement (the “Jamex TLA”) with Jamex Marketing, LLC (“Jamex”) pursuant to which Jamex would be responsible for certain payments to Bridger and also for sourcing crude oil volumes for Bridger’s largest customer at that time. On September 1, 2016, Bridger, Jamex, Ferrellgas Partners, L.P. and certain other affiliated parties entered into a group of agreements that terminated the Jamex TLA, as summarized below.</w:t>
      </w:r>
    </w:p>
    <w:p>
      <w:pPr>
        <w:spacing w:after="0" w:line="17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September 1, 2016, we entered into a Secured Promissory Note with Jamex (the “Jamex Secured Promissory Note”) pursuant to which Jamex agreed to pay us a principal amount of $49.5 million plus interest, which principal amount was due over time pursuant to an amortization schedule and with a final maturity date of December 17, 2021. Jamex’s obligations under the Jamex Secured Promissory Note were fully guaranteed by certain subsidiaries and affiliates of Jamex, and were partially guaranteed (up to a maximum of $20 million) by James Ballengee, the individual owner of Jamex, and another entity owned by Mr. Ballengee. The Jamex Secured Promissory Note obligations of Jamex and those other fully guaranteeing entities were secured by certain assets owned by those entities, actively traded marketable securities and cash, which were held in a controlled account and were subject to seizure by us in the event of default. The operating partnership also agreed to provide Jamex with a $5.0 million revolving secured working capital facility evidenced by a revolving promissory note (the “Jamex Revolving Promissory Note”).</w:t>
      </w:r>
    </w:p>
    <w:p>
      <w:pPr>
        <w:spacing w:after="0" w:line="168"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On June 25, 2018, Ferrellgas and Mr. Ballengee entered into an Omnibus Agreement (the “Omnibus Agreement”) that, among other things, terminated and cancelled the Jamex Secured Promissory Note, the joint guarantee, and the Jamex Revolving Promissory Note. In connection with the termination and cancellation of such agreements, (1) Mr. Ballengee and Jamex paid Ferrellgas $16.3 million towards the remaining balance due under the Jamex Secured Promissory Note and Mr. Ballengee executed a new unsecured promissory note in favor of the operating partnership with an original principal amount of $18.3 million (the “Revised Jamex Promissory Note”), (2) Bacchus, a company controlled by Mr. Ballengee, executed a guaranty agreement to guarantee Mr. Ballengee’s obligations under the Revised Jamex Promissory Note,</w:t>
      </w:r>
    </w:p>
    <w:p>
      <w:pPr>
        <w:spacing w:after="0" w:line="2" w:lineRule="exact"/>
        <w:rPr>
          <w:sz w:val="20"/>
          <w:szCs w:val="20"/>
          <w:color w:val="auto"/>
        </w:rPr>
      </w:pPr>
    </w:p>
    <w:p>
      <w:pPr>
        <w:ind w:left="60" w:right="119" w:hanging="10"/>
        <w:spacing w:after="0" w:line="260"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Ferrellgas agreed to dismiss without prejudice certain indemnification claims against Jamex and any affiliates of Jamex related to the Eddystone litigation and to toll the statute of limitations 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color w:val="auto"/>
        </w:rPr>
        <w:t>respect thereto, and to dismiss with prejudice the tortious interference claim asserted by Ferrellgas against Mr. Ballengee related to the Eddystone litigation, and (4) Mr. Ballengee agreed to dismiss with prejudice, or cause to be dismissed, all counterclaims by him or his affiliates, as the case may be, with respect to such actions.</w:t>
      </w:r>
    </w:p>
    <w:p>
      <w:pPr>
        <w:spacing w:after="0" w:line="165" w:lineRule="exact"/>
        <w:rPr>
          <w:sz w:val="20"/>
          <w:szCs w:val="20"/>
          <w:color w:val="auto"/>
        </w:rPr>
      </w:pPr>
    </w:p>
    <w:p>
      <w:pPr>
        <w:jc w:val="both"/>
        <w:ind w:left="60" w:right="499" w:firstLine="648"/>
        <w:spacing w:after="0" w:line="311" w:lineRule="auto"/>
        <w:rPr>
          <w:sz w:val="20"/>
          <w:szCs w:val="20"/>
          <w:color w:val="auto"/>
        </w:rPr>
      </w:pPr>
      <w:r>
        <w:rPr>
          <w:rFonts w:ascii="Arial" w:cs="Arial" w:eastAsia="Arial" w:hAnsi="Arial"/>
          <w:sz w:val="16"/>
          <w:szCs w:val="16"/>
          <w:color w:val="auto"/>
        </w:rPr>
        <w:t>On July 1, 2020, Mr. Ballengee defaulted on the Revised Jamex Promissory Note by failing to make the first payment in the amount of $2.5 million. As a result, as of July 31, 2020, Ferrellgas recorded a bad debt reserve against $17.3 million of the Revised Jamex Promissory Note and is pursuing collections from Mr. Ballengee.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As discussed above, no distributions will be paid to common unitholders for the three months ended July 31, 2020, and the general partner expects that Ferrellgas Partners will continue to be prohibited from making common unit distributions unless and until the outstanding notes of Ferrellgas Partners due 2020 are restructured, refinanced or otherwise satisfied. See Item 1A. “Risk Factors - Risks Inherent in an Investment in our Debt Securities or our Common Units and Other Risks Related to Our Capital Structure and Financing Arrangements” and see above under the subheading “Financial covenants” for discussion related to our distributions.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We Evaluate Our Operations</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evaluate our overall business performance based primarily on a metric we refer to as “Adjusted EBITDA”, which is not defined by GAAP and should not be considered an alternative to earnings measures defined by GAAP. We do not utilize depreciation, depletion and amortization expense in our key measures because we focus our performance management on cash flow generation and our revenue generating assets have long useful lives. For the definition of Adjusted EBITDA and a reconciliation of Adjusted EBITDA to net earnings (loss) attributable to Ferrellgas Partners, L.P., the most directly comparable GAAP measure, see the subheading “Non-GAAP Financial Measures”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Propane operations and related equipment sales</w:t>
      </w:r>
    </w:p>
    <w:p>
      <w:pPr>
        <w:spacing w:after="0" w:line="225"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Based on our propane sales volumes in fiscal 2020, we believe that we are the second largest retail marketer of propane in the United States and a leading national provider of propane by portable tank exchange. We serve residential, industrial/commercial, portable tank exchange, agricultural, wholesale and other customers in all 50 states, the District of Columbia and Puerto Rico. Our operations primarily include the retail distribution and sale of propane and related equipment and supplies with concentrations in the Midwest, Southeast, Southwest and Northwest regions of the United States.</w:t>
      </w:r>
    </w:p>
    <w:p>
      <w:pPr>
        <w:spacing w:after="0" w:line="19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use information on temperatures to understand how our results of operations are affected by temperatures that are warmer or colder than normal. Normal temperatures computed by us are the average of the last 10 years of information published by the National Oceanic and Atmospheric Administration. Based on this information we calculate a ratio of actual heating degree days to normal heating degree days. Heating degree days are a general indicator of weather impacting propane usage.</w:t>
      </w:r>
    </w:p>
    <w:p>
      <w:pPr>
        <w:spacing w:after="0" w:line="18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Weather conditions have a significant impact on demand for propane for heating purposes primarily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will tend to result in reduced propane usage, while sustained colder-than-normal temperatures will tend to result in greater usage. Although there is a strong correlation between weather and customer usage, general economic conditions in the United States and the wholesale price of propane can have a significant impact on this correlation. Additionally, there is a natural time lag between the onset of cold weather and increased sales to customers. If the United States were to experience a cooling trend, we could expect nationwide demand for propane to increase which could lead to greater sales, income and liquidity availability. Conversely, if the United States were to experience a continued warming trend, we could expect nationwide demand for propane for heating purposes to decrease which could lead to a reduction in our sales, income and liquidity availability as well as impact our ability to maintain compliance with our debt covenants.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We employ risk management activities that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178"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Our open financial derivative propane purchase commitments are designated as hedges primarily for fiscal 2020 and 2021 sales commitments and, as of July 31, 2020, we have experienced net mark-to-market losses of approximately $2.3 million. Because these financial derivative purchase commitments qualify for hedge accounting treatment, the resulting asset, liability and related mark-to-market gains or losses are recorded on the consolidated balance sheets as “Prepaid expenses and other current assets,” "Other assets, net," “Other current liabilities,” "Other liabilities" and “Accumulated other comprehensive loss,” respectively, until settled. Upon settlement, realized gains or losses on these contracts will be reclassified to “Cost of sales-propane and other gas liquid sales” in the consolidated statements of operations as the underlying inventory is sold. These financial derivative purchase commitment net losses are expected to be offset by increased margins on propane sales commitments that qualify for the normal purchase normal sale exception. At July 31, 2020, we estimate 84% of currently open financial derivative purchase commitments, the related propane sales commitments and the resulting gross margin will be realized into earnings during the next twelve months.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Discussion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years ended July 31, 2020 and 2019</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Weather in the more highly concentrated geographic areas we serve for fiscal 2020 was approximately 4% warmer than normal, and 8% warmer than fiscal 2019. We estimate retail gallons decreased approximately 19 million gallons due to warmer weather. Additionally, gross margin, operating income and Adjusted EBITDA were also negatively impacted by warmer weather.</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During fiscal 2020, we generated a net loss attributable to Ferrellgas Partners, L.P. of $82.5 million, compared to a net loss attributable to Ferrellgas Partners, L.P. of $64.2 million during fiscal 2019. This increase in net losses reflects a $37.4 million loss on extinguishment of debt, a $15.3 million increase in interest expense and a $9.9 million increase in “Operating, general and administrative expense”. These items were partially offset by a $36.4 million increase in "Gross margin - Propane and other gas liquid sales" and a $4.9 million increase in “Gross margin - other”. “Operating, general and administrative expense” increased due to a $24.2 million increase in “Operating expense – personnel, vehicle, plant and other”, partially offset by a $14.2 million decrease in “General and administrative expense”. These results primarily reflect the effects of a one-time $17.5 million loss related to a provision for doubtful accounts related to non-core businesses, and legal fees and settlements related to non-core businesses of $7.3 million and $18.4 million during fiscal 2020 and fiscal 2019, respectively.</w:t>
      </w:r>
    </w:p>
    <w:p>
      <w:pPr>
        <w:spacing w:after="0" w:line="18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“Interest expense” for Ferrellgas Partners increased $15.3 million primarily due to increased borrowings related to the issuance in April 2020 of our new $700.0 million senior secured notes, which replaced our terminated Senior Secured Credit Facility, paid down the amounts borrowed on our accounts receivable facility and provided more than $250.0 million of additional liquidity and capital resources. The higher interest rate on the new senior secured notes contributed $3.1 million of the increase in interest expense.</w:t>
      </w:r>
    </w:p>
    <w:p>
      <w:pPr>
        <w:spacing w:after="0" w:line="176"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Distributable cash flow attributable to equity investors increased to $63.7 million in fiscal 2020 compared to $22.6 million in fiscal 2019, primarily due to a $35.5 million increase in our Adjusted EBITDA, a $23.5 million decrease in our maintenance capital expenditures, as discussed below in “Operating results for the years ended July 31, 2020 and 2019”, partially offset by a $17.5 million increase in cash interest expense. This decrease in maintenance capital expenditures primarily related to the purchase of new propane delivery trucks in fiscal 2019.</w:t>
      </w:r>
    </w:p>
    <w:p>
      <w:pPr>
        <w:spacing w:after="0" w:line="176"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Distributable cash flow excess increased to $62.4 million in fiscal 2020 as compared to $12.4 million in fiscal 2019, primarily due to a $35.5 million increase in our Adjusted EBITDA, a $23.5 million decrease in our maintenance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capital expenditures and a $9.7 million decrease in distributions to common unitholders, partially offset by a $17.5 million increase in cash interest expense, each as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40" w:type="dxa"/>
            <w:vAlign w:val="bottom"/>
          </w:tcPr>
          <w:p>
            <w:pPr>
              <w:spacing w:after="0"/>
              <w:rPr>
                <w:sz w:val="14"/>
                <w:szCs w:val="14"/>
                <w:color w:val="auto"/>
              </w:rPr>
            </w:pPr>
          </w:p>
        </w:tc>
        <w:tc>
          <w:tcPr>
            <w:tcW w:w="21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July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1,497,826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1,684,392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Equipment lease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employee stock ownership plan compensation charge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on asset sales and disposals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(192,962)</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(177,619)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(37,399)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Ferrellgas Partners, L.P.</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Less: General partner's interest in net loss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unitholders' interest in 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In this Annual Report we present the following non-GAAP financial measures: Adjusted EBITDA, Distributable cash flow attributable to equity investors, Distributable cash flow attributable to common unitholders, and Distributable cash flow excess.</w:t>
      </w:r>
    </w:p>
    <w:p>
      <w:pPr>
        <w:spacing w:after="0" w:line="18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Adjusted EBITDA for Ferrellgas Partners is calculated as net loss attributable to Ferrellgas</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L.P., plus the sum of the following: income tax expense, interest expense, depreciation and amortization expense, non-cash employee stock ownership plan compensation charge, loss on extinguishment of debt, loss on asset sales and disposals, other income (expense), net, severance costs, legal fees and settlements related to non-core businesses, provision for doubtful accounts related to non-core businesses, multi-employer pension plan withdrawal settlement, lease accounting standard adjustment and other and net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Adjusted EBITDA or similarly titled measurements used by other companies. Items added into our calculation of Adjusted EBITDA that will not occur on a continuing basis may have associated cash payments. This method of calculating Adjusted EBITDA should be viewed in conjunction with measurements that are computed in accordance with GAAP.</w:t>
      </w:r>
    </w:p>
    <w:p>
      <w:pPr>
        <w:spacing w:after="0" w:line="186"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i w:val="1"/>
          <w:iCs w:val="1"/>
          <w:color w:val="auto"/>
        </w:rPr>
        <w:t>Distributable Cash Flow Attributable to Equity Investors</w:t>
      </w:r>
      <w:r>
        <w:rPr>
          <w:rFonts w:ascii="Arial" w:cs="Arial" w:eastAsia="Arial" w:hAnsi="Arial"/>
          <w:sz w:val="16"/>
          <w:szCs w:val="16"/>
          <w:color w:val="auto"/>
        </w:rPr>
        <w:t>. Distributable cash flow attributable to equity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is calculated as Adjusted EBITDA minus net cash interest expense, maintenance capital expenditures and cash paid for taxes, plus proceeds from certain asset sales. Management considers distributable cash flow attributable to equity investors a meaningful measure of the partnership’s ability to declare and pay quarterly distributions to equity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296" w:lineRule="auto"/>
        <w:rPr>
          <w:sz w:val="20"/>
          <w:szCs w:val="20"/>
          <w:color w:val="auto"/>
        </w:rPr>
      </w:pPr>
      <w:r>
        <w:rPr>
          <w:rFonts w:ascii="Arial" w:cs="Arial" w:eastAsia="Arial" w:hAnsi="Arial"/>
          <w:sz w:val="16"/>
          <w:szCs w:val="16"/>
          <w:color w:val="auto"/>
        </w:rPr>
        <w:t>investors. Distributable cash flow attributable to equity investors, as management defines it, may not be comparable to distributable cash flow attributable to equity investors or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161" w:lineRule="exact"/>
        <w:rPr>
          <w:sz w:val="20"/>
          <w:szCs w:val="20"/>
          <w:color w:val="auto"/>
        </w:rPr>
      </w:pPr>
    </w:p>
    <w:p>
      <w:pPr>
        <w:ind w:left="60" w:right="299" w:firstLine="648"/>
        <w:spacing w:after="0" w:line="289" w:lineRule="auto"/>
        <w:rPr>
          <w:sz w:val="20"/>
          <w:szCs w:val="20"/>
          <w:color w:val="auto"/>
        </w:rPr>
      </w:pPr>
      <w:r>
        <w:rPr>
          <w:rFonts w:ascii="Arial" w:cs="Arial" w:eastAsia="Arial" w:hAnsi="Arial"/>
          <w:sz w:val="16"/>
          <w:szCs w:val="16"/>
          <w:i w:val="1"/>
          <w:iCs w:val="1"/>
          <w:color w:val="auto"/>
        </w:rPr>
        <w:t>Distributable Cash Flow Attributable to Common Unitholders</w:t>
      </w:r>
      <w:r>
        <w:rPr>
          <w:rFonts w:ascii="Arial" w:cs="Arial" w:eastAsia="Arial" w:hAnsi="Arial"/>
          <w:sz w:val="16"/>
          <w:szCs w:val="16"/>
          <w:color w:val="auto"/>
        </w:rPr>
        <w:t>. Distributable cash flow attributable to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is calculated as Distributable cash flow attributable to equity investors minus distributable cash flow attributable to general partner and noncontrolling interest. 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companies. Items added into our calculation of distributable cash flow attributable to common unitholders that will not occur on a continuing basis may have associated cash payments. Distributable cash flow attributable to common unitholders should be viewed in conjunction with measurements that are computed in accordance with GAAP.</w:t>
      </w:r>
    </w:p>
    <w:p>
      <w:pPr>
        <w:spacing w:after="0" w:line="16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i w:val="1"/>
          <w:iCs w:val="1"/>
          <w:color w:val="auto"/>
        </w:rPr>
        <w:t>Distributable Cash Flow Excess</w:t>
      </w:r>
      <w:r>
        <w:rPr>
          <w:rFonts w:ascii="Arial" w:cs="Arial" w:eastAsia="Arial" w:hAnsi="Arial"/>
          <w:sz w:val="16"/>
          <w:szCs w:val="16"/>
          <w:color w:val="auto"/>
        </w:rPr>
        <w:t>. Distributable cash flow excess is calculated as Distributable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common unitholders minus Distributions paid to common unitholders. Distributable cash flow excess, if any, is retained to establish reserves for future distributions, to reduce debt, to fund capital expenditures and for other partnership purposes, and any shortage is funded from previously established reserves, cash on hand or borrowings under our accounts receivable securitization facility or, previously, under our terminated Senior Secured Credit Facility. Management considers Distributable cash flow excess a meaningful measure of the partnership’s ability to effectuate those purposes. Distributable cash flow excess, as management defines it, may not be comparable to distributable cash flow excess or similarly titled measurements used by other companies. Items added into our calculation of distributable cash flow excess that will not occur on a continuing basis may have associated cash payments. Distributable cash flow excess should be viewed in conjunction with measurements that are computed in accordance with GAAP.</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The following table reconciles Adjusted EBITDA, Distributable cash flow attributable to equity investors, Distributable cash flow attributable to common unitholders and Distributable cash flow excess to Net loss attributable to Ferrellgas Partners, L.P., the most directly comparable GAAP measure, for the fiscal years indicated: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80" w:type="dxa"/>
            <w:vAlign w:val="bottom"/>
          </w:tcPr>
          <w:p>
            <w:pPr>
              <w:spacing w:after="0"/>
              <w:rPr>
                <w:sz w:val="14"/>
                <w:szCs w:val="14"/>
                <w:color w:val="auto"/>
              </w:rPr>
            </w:pPr>
          </w:p>
        </w:tc>
        <w:tc>
          <w:tcPr>
            <w:tcW w:w="19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July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Ferrellgas Partners, L.P.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Non-cash employee stock ownership plan compensation charge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asset sales and disposals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Severance costs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Legal fees and settlements related to non-core businesses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Provision for doubtful accounts related to non-core businesses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Multi-employer pension plan withdrawal settlement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Lease accounting standard adjustment and other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265,480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interest expense (a)</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(182,246)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Maintenance capital expenditures (b)</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(23,240)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certain asset sales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 attributable to equity investors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Distributable cash flow attributable to general partner and non-controlling interest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Distributable cash flow attributable to common unitholders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Less: Distributions paid to common unitholders</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Distributable cash flow excess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1414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right="359" w:hanging="330"/>
        <w:spacing w:after="0" w:line="308"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Net cash interest expense is the sum of interest expense less non-cash interest expense and other income (expense), net. This amount includes interest expense related to the accounts receivable securitization facility.</w:t>
      </w:r>
    </w:p>
    <w:p>
      <w:pPr>
        <w:spacing w:after="0" w:line="146" w:lineRule="exact"/>
        <w:rPr>
          <w:rFonts w:ascii="Arial" w:cs="Arial" w:eastAsia="Arial" w:hAnsi="Arial"/>
          <w:sz w:val="17"/>
          <w:szCs w:val="17"/>
          <w:color w:val="auto"/>
        </w:rPr>
      </w:pPr>
    </w:p>
    <w:p>
      <w:pPr>
        <w:ind w:left="380" w:right="279" w:hanging="330"/>
        <w:spacing w:after="0" w:line="308"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Maintenance capital expenditures include capitalized expenditures for betterment and replacement of property, plant and equipment, and, from time to time, can include the purchase of assets that are typically leased.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for the years ended July 31,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Propane operations and related equipment sales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table summarizes propane sales volumes and Adjusted EBITDA results of our propane operations and related equipment sales segment for the fiscal years indicated: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As of July 31,</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Retail customers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713,208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23,838</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Tank exchange selling locations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(amounts in thousands)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Year ended July 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Propane sales volumes (gallons):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Retail - Sales to End Users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638,017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(34,249)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 - Sales to Resellers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235,529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232,566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873,546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904,832</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(31,286)</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16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Revenues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Propane and other gas liquids sales: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Retail - Sales to End Users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964,087</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1,128,991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(164,904)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Wholesale - Sales to Resellers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430,435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419,349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11,086</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Gas Sales (a)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(b)</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Propane and related equipment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1,497,826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1,684,392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(186,566)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Propane and other gas liquids sales gross margin: (c)</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Retail - Sales to End Users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527,191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Wholesale - Sales to Resellers (a)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182,545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33,002</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Propane and related equipment 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811,770</w:t>
            </w:r>
          </w:p>
        </w:tc>
        <w:tc>
          <w:tcPr>
            <w:tcW w:w="1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770,470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41,300</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general and administrative expense (d)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538,807</w:t>
            </w:r>
          </w:p>
        </w:tc>
        <w:tc>
          <w:tcPr>
            <w:tcW w:w="1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528,862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9,945</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 - equipment lease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Non-cash employee stock ownership plan compensation charge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asset sales and disposals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Multi-employer pension plan withdrawal settlement</w:t>
            </w:r>
          </w:p>
        </w:tc>
        <w:tc>
          <w:tcPr>
            <w:tcW w:w="120" w:type="dxa"/>
            <w:vAlign w:val="bottom"/>
          </w:tcPr>
          <w:p>
            <w:pPr>
              <w:spacing w:after="0"/>
              <w:rPr>
                <w:sz w:val="20"/>
                <w:szCs w:val="2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(1,524)</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settlements related to non-core businesses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Provision for doubtful accounts related to non-core businesses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17,325</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Lease accounting standard adjustment and other (e)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380" w:right="119" w:hanging="330"/>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margin for Other Gas Sales is allocated to Gross margin “Retail - Sales to End Users” and “Wholesale - Sales to Resellers” based on the volumes in each respective category.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primarily includes appliance and material sales, and to a lesser extent various customer fee income.</w:t>
      </w:r>
    </w:p>
    <w:p>
      <w:pPr>
        <w:spacing w:after="0" w:line="225" w:lineRule="exact"/>
        <w:rPr>
          <w:rFonts w:ascii="Arial" w:cs="Arial" w:eastAsia="Arial" w:hAnsi="Arial"/>
          <w:sz w:val="18"/>
          <w:szCs w:val="18"/>
          <w:color w:val="auto"/>
        </w:rPr>
      </w:pPr>
    </w:p>
    <w:p>
      <w:pPr>
        <w:ind w:left="380" w:right="199" w:hanging="330"/>
        <w:spacing w:after="0" w:line="342"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Gross margin from “Propane and other gas liquids sales” represents “Revenues - Propane and other gas liquids sales” less “Cost of sales - Propane and other gas liquids sales” and does not include depreciation and amortization.</w:t>
      </w:r>
    </w:p>
    <w:p>
      <w:pPr>
        <w:spacing w:after="0" w:line="123" w:lineRule="exact"/>
        <w:rPr>
          <w:rFonts w:ascii="Arial" w:cs="Arial" w:eastAsia="Arial" w:hAnsi="Arial"/>
          <w:sz w:val="16"/>
          <w:szCs w:val="16"/>
          <w:color w:val="auto"/>
        </w:rPr>
      </w:pPr>
    </w:p>
    <w:p>
      <w:pPr>
        <w:ind w:left="380" w:right="139" w:hanging="330"/>
        <w:spacing w:after="0" w:line="263"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general and administrative expenses are included in the calculation of Adjusted EBITDA. General and administrative expense includes only certain items that were directly attributable to the propane operations and related equipment sales segment.</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Lease accounting standard adjustments reflects the additional expense recognized in excess of cash paid.</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Weather in the more highly concentrated geographic areas we serve for fiscal 2020 was approximately 4% warmer than normal, and 8% warmer than fiscal 2019. Retail gallons decreased approximately 19 million gallons due to warmer weather, partially offset by efforts to increase market share.</w:t>
      </w:r>
    </w:p>
    <w:p>
      <w:pPr>
        <w:spacing w:after="0" w:line="18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Propane sales volumes during fiscal 2020 decreased 3%, or 31.3 million gallons, from fiscal 2019 primarily due to decreased sales volumes to retail customers. The decrease in propane sales volumes to retail customers was due to the warmer weather and due to the widespread slowdown of the economy due to COVID-19, both as discussed above, partially offset by the 3% increase in retail customer count. Although wholesale sales gallons experienced a slight increase compared to fiscal 2019, tank exchange gallons increased 14% due to increased residential demand in connection with quarantine orders due to COVID-19. This increase was offset by an 8% decline in volumes of bulk propane sold to our wholesale customers primarily due to the widespread slowdown of the economy due to COVID-19, and to a lesser extent the effects of warmer weather.</w:t>
      </w:r>
    </w:p>
    <w:p>
      <w:pPr>
        <w:spacing w:after="0" w:line="178"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wholesale sales price per gallon partially correlates to the change in the wholesale market price of propane. The wholesale market price at major supply points in Mt. Belvieu, Texas during fiscal 2020 averaged 40% less than fiscal 2019, while at the Conway, Kansas major supply point prices averaged 33% less than fiscal 2019. The wholesale market price at Mt. Belvieu, Texas averaged $0.43 and $0.72 per gallon during fiscal 2020 and fiscal 2019, respectively, while the wholesale market price at Conway, Kansas averaged $0.40 and $0.60 per gallon during fiscal 2020 and fiscal 2019, respectively. This decrease in the wholesale cost of propane contributed to our decrease in sales price per gallon and therefore revenues, but an increase in gross margin per gallon.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Retail sales decreased $164.9 million compared to fiscal 2019. This decrease resulted from a $107.4 million decrease in sales price per gallon, as discussed above, as well as decreases in sales due to warmer weather of approximately $30.0 million and due to the economic slowdown, both as discussed above, partially offset by increases related to the 3% increase in customer count.</w:t>
      </w:r>
    </w:p>
    <w:p>
      <w:pPr>
        <w:spacing w:after="0" w:line="18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Wholesale sales increased $11.1 million compared to fiscal 2019. This increase resulted from increases in tank exchange sales volumes as discussed above. This increase was partially offset by a $23.4 million decrease in sales price per gallon, as discussed above, and the adverse impact to fixed price contracts due to increased competitive pressures. This is a trend that continues from fiscal 2019.</w:t>
      </w:r>
    </w:p>
    <w:p>
      <w:pPr>
        <w:spacing w:after="0" w:line="187" w:lineRule="exact"/>
        <w:rPr>
          <w:sz w:val="20"/>
          <w:szCs w:val="20"/>
          <w:color w:val="auto"/>
        </w:rPr>
      </w:pPr>
    </w:p>
    <w:p>
      <w:pPr>
        <w:jc w:val="both"/>
        <w:ind w:left="60" w:right="319" w:firstLine="648"/>
        <w:spacing w:after="0" w:line="277" w:lineRule="auto"/>
        <w:rPr>
          <w:sz w:val="20"/>
          <w:szCs w:val="20"/>
          <w:color w:val="auto"/>
        </w:rPr>
      </w:pPr>
      <w:r>
        <w:rPr>
          <w:rFonts w:ascii="Arial" w:cs="Arial" w:eastAsia="Arial" w:hAnsi="Arial"/>
          <w:sz w:val="18"/>
          <w:szCs w:val="18"/>
          <w:color w:val="auto"/>
        </w:rPr>
        <w:t>Other gas sales decreased $39.2 million compared to fiscal 2019 primarily due to both decreased sales volumes and decreased sales price per gallon, both as discussed above.</w:t>
      </w:r>
    </w:p>
    <w:p>
      <w:pPr>
        <w:spacing w:after="0" w:line="170"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Other revenues increased $6.5 million compared to fiscal 2019 primarily due to a $2.9 million one-time federal refund of fuel excise tax, increased material and appliance sales and increased fees from service labor related to the 3% increase in retail customer count as discussed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 - Propane and other gas liquids sales</w:t>
      </w:r>
    </w:p>
    <w:p>
      <w:pPr>
        <w:spacing w:after="0" w:line="225" w:lineRule="exact"/>
        <w:rPr>
          <w:sz w:val="20"/>
          <w:szCs w:val="20"/>
          <w:color w:val="auto"/>
        </w:rPr>
      </w:pPr>
    </w:p>
    <w:p>
      <w:pPr>
        <w:ind w:left="60" w:right="339" w:firstLine="648"/>
        <w:spacing w:after="0" w:line="255" w:lineRule="auto"/>
        <w:rPr>
          <w:sz w:val="20"/>
          <w:szCs w:val="20"/>
          <w:color w:val="auto"/>
        </w:rPr>
      </w:pPr>
      <w:r>
        <w:rPr>
          <w:rFonts w:ascii="Arial" w:cs="Arial" w:eastAsia="Arial" w:hAnsi="Arial"/>
          <w:sz w:val="18"/>
          <w:szCs w:val="18"/>
          <w:color w:val="auto"/>
        </w:rPr>
        <w:t>Gross margin increased $36.4 million due primarily to increases in wholesale gross margin. The $33.0 million increase in wholesale gross margin primarily related to increased tank exchange volume sales and to a lesser extent increased gross margin per gallon, both as discussed above. The increase in retail gross margin of $3.4 million resulted from a $30.1 million increase in gross margin per gallon and to a lesser extent an increase in retail customer counts, partially offset by an estimated $14.0 million decrease in gallon sales related to the effects of warmer weather, both as discussed above.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 - other</w:t>
      </w:r>
    </w:p>
    <w:p>
      <w:pPr>
        <w:spacing w:after="0" w:line="225"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Gross margin increased $4.9 million compared to fiscal 2019 primarily due to a $2.9 million one-time federal refund of fuel excise tax and increased fees from service labor related to the 3% increase in retail customer count as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Operating income increased $35.6 million primarily due to a $36.4 million increase in "Gross margin - Propane and other gas liquid sales", as discussed above, and a $4.9 million increase in “Gross margin - other”, as discussed above, partially offset by a $9.9 million increase in “Operating, general and administrative expense”. “Operating, general and administrative expense” increased due to a $24.2 million increase in “Operating expense – personnel, vehicle, plant and other”, partially offset by a $14.2 million decrease in “General and administrative expense”. “Operating expense – personnel, vehicle, plant and other” increased primarily due to a one-time $17.3 million provision for doubtful accounts related to non-core businesses, a $12.0 million increase in field personnel costs, a $2.0 million increase related to acquisitions made in the last twelve months, partially offset by a $3.5 million decrease in general liability and worker compensation costs, a $3.3 million decrease in vehicle fuel costs and previous $1.5 million pension settlement charge associated with the withdrawal from a multi-employer pension plan that was not repeated in fiscal 2020. “General and administrative expense” decreased primarily due to a $14.7 million decrease in legal costs and a decrease of $0.9 million in severance cost incurred in fiscal 2019 that was not repeated in the current period, partially offset by a $0.9 million increase in personnel costs and a $0.5 million increase in other corporate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Adjusted EBITDA increased $35.5 million primarily due to a $36.4 million increase in "Gross margin - Propane and other gas liquid sales" and a $4.9 million increase in “Gross margin – other”, both as discussed above, partially offset by a $5.9 million increase in “Operating, general and administrative expense”. “Operating, general and administrative expense” increased due to a $8.3 million increase in “Operating expense – personnel, vehicle, plant and other,” partially offset by a $2.3 million decrease in “General and administrative expense”. “Operating expense – personnel, vehicle, plant and other” increased primarily due to a $12.0 million increase in field personnel costs, a $2.0 million increase related to acquisitions made in the last twelve months, partially offset by a $3.5 million decrease in general liability and worker compensation costs and a $3.3 million decrease in vehicle fuel costs. “General and administrative expense” decreased $2.3 million primarily due to a $3.6 million decrease in legal costs, partially offset by a $0.9 million increase in personnel costs and a $0.4 million increase in other corporate costs.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Our primary sources of liquidity and capital resources are cash flows from operating activities, our accounts receivable securitization facility and funds received from sales of debt and equity securities. As of July 31, 2020, our total liquidity was $249.0 million, which is comprised of $238.0 million in unrestricted cash and $11.0 million of availability under our accounts receivable securitization facility. These sources of liquidity and short term capital resources are intended to fund our working capital requirements, acquisitions and capital expenditures, and may be used to repay or redeem outstanding indebtedness to the extent permitted by the covenants under the indentures governing our outstanding senior notes, including the covenants described under the “Financial Covenants” subheading above. As of July 31, 2020, letters of credit outstanding totaled $126.0 million. Our access to long term capital resources, in order to address our leverage, may be affected by our ability to access the capital markets, covenants in our debt agreements, unforeseen demands on cash, or other events beyond our control.</w:t>
      </w:r>
    </w:p>
    <w:p>
      <w:pPr>
        <w:spacing w:after="0" w:line="185" w:lineRule="exact"/>
        <w:rPr>
          <w:sz w:val="20"/>
          <w:szCs w:val="20"/>
          <w:color w:val="auto"/>
        </w:rPr>
      </w:pPr>
    </w:p>
    <w:p>
      <w:pPr>
        <w:ind w:left="60" w:right="539" w:firstLine="648"/>
        <w:spacing w:after="0" w:line="286" w:lineRule="auto"/>
        <w:rPr>
          <w:sz w:val="20"/>
          <w:szCs w:val="20"/>
          <w:color w:val="auto"/>
        </w:rPr>
      </w:pPr>
      <w:r>
        <w:rPr>
          <w:rFonts w:ascii="Arial" w:cs="Arial" w:eastAsia="Arial" w:hAnsi="Arial"/>
          <w:sz w:val="17"/>
          <w:szCs w:val="17"/>
          <w:color w:val="auto"/>
        </w:rPr>
        <w:t>As of July 31, 2020, we had $95.8 million of restricted cash, which includes $78.2 million of pledged cash collateral for letters of credit outstanding, an $11.5 million cash deposit made with the administrative agent under the terminated Senior Secured Credit Facility, and $6.1 million of additional pledged collateral.</w:t>
      </w:r>
    </w:p>
    <w:p>
      <w:pPr>
        <w:spacing w:after="0" w:line="16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On April 16, 2020, the operating partnership issued $700.0 million aggregate principal amount of 10.00% senior secured first lien notes due 2025, $575.0 million of which was issued at par and $125.0 million of which was issued at 103% of par. The operating partnership utilized a portion of the net proceeds of that offering to repay all $283.9 million of the outstanding borrowings under its Senior Secured Credit Facility, together with $3.1 million of accrued interest and a $17.5 million prepayment premium and terminated that facility. Additionally, the operating partnership used a portion of the net proceeds from that offering to cash collateralize all of the letters of credit outstanding under the Senior Secured Credit Facility and to make a cash deposit of $11.5 million with the administrative agent under the Senior Secured Credit Facility, which may be used by the administrative agent to pay contingent obligations arising under the Financing Agreement that governed the Senior Secured Credit Facility. To the extent the cash deposit is not used to pay any such contingent obligations, it will be returned to the operating partnership in certain circumstances. The operating partnership is using the remaining net proceeds for general corporate purposes.</w:t>
      </w:r>
    </w:p>
    <w:p>
      <w:pPr>
        <w:spacing w:after="0" w:line="172" w:lineRule="exact"/>
        <w:rPr>
          <w:sz w:val="20"/>
          <w:szCs w:val="20"/>
          <w:color w:val="auto"/>
        </w:rPr>
      </w:pPr>
    </w:p>
    <w:p>
      <w:pPr>
        <w:jc w:val="both"/>
        <w:ind w:left="60" w:right="179" w:firstLine="648"/>
        <w:spacing w:after="0" w:line="287" w:lineRule="auto"/>
        <w:rPr>
          <w:sz w:val="20"/>
          <w:szCs w:val="20"/>
          <w:color w:val="auto"/>
        </w:rPr>
      </w:pPr>
      <w:r>
        <w:rPr>
          <w:rFonts w:ascii="Arial" w:cs="Arial" w:eastAsia="Arial" w:hAnsi="Arial"/>
          <w:sz w:val="16"/>
          <w:szCs w:val="16"/>
          <w:color w:val="auto"/>
        </w:rPr>
        <w:t>As a result of the termination of the Senior Secured Credit Facility and the letter of credit sub-facility thereunder, we no longer have in place a credit facility providing for the issuance of letters of credit. We may not be able to obtain, or may be restricted under the indentures in our ability to obtain, a new letter of credit facility that does not require</w:t>
      </w:r>
    </w:p>
    <w:p>
      <w:pPr>
        <w:spacing w:after="0" w:line="2"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cash collateralization of letters of credit or that otherwise provides acceptable terms. Accordingly, we expect that we will continue to be required to cash collateralize all of our existing and future letters of credit for the foreseeable future. Our inability to access and employ the restricted cash that collateralizes our existing and future letters of credit and the contingent obligations cash deposit with the administrative agent under the terminated Senior Secured Credit Facility may adversely affect our liquidity.</w:t>
      </w:r>
    </w:p>
    <w:p>
      <w:pPr>
        <w:spacing w:after="0" w:line="191"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We believe that the liquidity available from cash flows from operating activities, proceeds from sales of debt and equity securities, including the remaining proceeds from the issuance of our 10.00% senior secured first lien notes due 2025 and the accounts receivable securitization facility, combined with our debt and interest expense reduction initiatives, will be sufficient to meet our capital expenditure, working capital and letter of credit requirements. However, as discussed above, Ferrellgas Partners has failed to repay $357.0 million aggregate principal amount of unsecured senior notes due June 15, 2020, which are now classified as current in its consolidated financial statements. Ferrellgas Partners’ ability to restructure, refinance or otherwise satisfy these notes is uncertain considering the level of other outstanding indebtedness. We have engaged Moelis &amp; Company LLC as our financial advisor and the law firm of Squire Patton Boggs LLP to assist in our ongoing process to reduce existing debt and address our debt maturities.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As more fully described in Item 7. “Management’s Discussion and Analysis of Financial Condition and Results of Operations – Financial Covenants” above, the indenture governing the outstanding notes of Ferrellgas Partners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7" w:lineRule="auto"/>
        <w:rPr>
          <w:sz w:val="20"/>
          <w:szCs w:val="20"/>
          <w:color w:val="auto"/>
        </w:rPr>
      </w:pPr>
      <w:r>
        <w:rPr>
          <w:rFonts w:ascii="Arial" w:cs="Arial" w:eastAsia="Arial" w:hAnsi="Arial"/>
          <w:sz w:val="18"/>
          <w:szCs w:val="18"/>
          <w:color w:val="auto"/>
        </w:rPr>
        <w:t>the agreements governing the operating partnership’s indebtedness contain various covenants that limit our ability to, among other things, incur additional indebtedness and make distribution payments to our common unitholders. Given the limitations of these covenants, we continue to pursue a strategy to reduce our debt and interest expense. If we are unsuccessful with our strategy to reduce debt and interest expense, we will continue to be restricted from making distribution payments to our common unitholders.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not meet the applicable financial tests in future quarters if we were to experience:</w:t>
      </w:r>
    </w:p>
    <w:p>
      <w:pPr>
        <w:spacing w:after="0" w:line="225" w:lineRule="exact"/>
        <w:rPr>
          <w:sz w:val="20"/>
          <w:szCs w:val="20"/>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significantly warmer than normal temperatures during the winter heating season;</w:t>
      </w:r>
    </w:p>
    <w:p>
      <w:pPr>
        <w:spacing w:after="0" w:line="225"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and sustained increases in the wholesale cost of propane that we are unable to pass along to our customers;</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more volatile energy commodity cost environment;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unexpected downturn in business operations;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delay in the collection of accounts or notes receivable;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failure to execute our debt and interest expense reduction initiatives;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change in customer retention or purchasing patterns due to economic or other factors in the United States;</w:t>
      </w:r>
    </w:p>
    <w:p>
      <w:pPr>
        <w:spacing w:after="0" w:line="248" w:lineRule="exact"/>
        <w:rPr>
          <w:rFonts w:ascii="Arial" w:cs="Arial" w:eastAsia="Arial" w:hAnsi="Arial"/>
          <w:sz w:val="16"/>
          <w:szCs w:val="16"/>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material downturn in the credit and/or equity markets; 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large uninsured, unfavorable lawsuit judgment or settlement.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seek additional capital as part of our debt reduction strategy.</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As discussed above, no distributions were paid to common unitholders during fiscal 2020 and the general partner expects that Ferrellgas Partners will continue to be prohibited from making common unit distributions unless and until the outstanding notes of Ferrellgas Partners due 2020 are restructured, refinanced or otherwise satisfied. Unless the indenture governing the outstanding notes due 2020 is amended or replaced, or Ferrellgas Partners’ consolidated fixed charge coverage ratio improves to at least 1.75x, this covenant will continue to restrict us from making common unit distributions. See “Management’s Discussion and Analysis of Financial Condition and Results of Operations —Recent Developments – Forbearance Agreement with respect to Ferrellgas Partners’ 8.625% Unsecured Senior Notes due June 15, 2020” above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Distributable Cash Flow</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Distributable cash flow attributable to equity investors is reconciled to net loss attributable to Ferrellgas Partners, L.P., the most directly comparable GAAP measure, in this Item 7. “Management’s Discussion and Analysis of Financial Condition and Results of Operations –Non-GAAP Financial Measures" above. A comparison of Distributable cash flow attributable to equity investors to Cash distributions paid to equity investors for the twelve months ended July 31,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 to the twelve months ended July 31, 2019 is as follows (in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rPr>
              <w:t>Distributable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Cash reserves</w:t>
            </w:r>
          </w:p>
        </w:tc>
        <w:tc>
          <w:tcPr>
            <w:tcW w:w="1460" w:type="dxa"/>
            <w:vAlign w:val="bottom"/>
            <w:gridSpan w:val="4"/>
          </w:tcPr>
          <w:p>
            <w:pPr>
              <w:ind w:left="160"/>
              <w:spacing w:after="0"/>
              <w:rPr>
                <w:sz w:val="20"/>
                <w:szCs w:val="20"/>
                <w:color w:val="auto"/>
              </w:rPr>
            </w:pPr>
            <w:r>
              <w:rPr>
                <w:rFonts w:ascii="Arial" w:cs="Arial" w:eastAsia="Arial" w:hAnsi="Arial"/>
                <w:sz w:val="14"/>
                <w:szCs w:val="14"/>
                <w:b w:val="1"/>
                <w:bCs w:val="1"/>
                <w:color w:val="auto"/>
              </w:rPr>
              <w:t>Cash distributions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DCF ratio</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3"/>
              </w:rPr>
              <w:t>cash flow attributable</w:t>
            </w:r>
          </w:p>
        </w:tc>
        <w:tc>
          <w:tcPr>
            <w:tcW w:w="1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(deficiency) approved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 to</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to equity investors</w:t>
            </w: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by our General Partner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equity investors</w:t>
            </w:r>
          </w:p>
        </w:tc>
        <w:tc>
          <w:tcPr>
            <w:tcW w:w="640" w:type="dxa"/>
            <w:vAlign w:val="bottom"/>
          </w:tcPr>
          <w:p>
            <w:pPr>
              <w:jc w:val="right"/>
              <w:ind w:right="57"/>
              <w:spacing w:after="0"/>
              <w:rPr>
                <w:sz w:val="20"/>
                <w:szCs w:val="20"/>
                <w:color w:val="auto"/>
              </w:rPr>
            </w:pPr>
            <w:r>
              <w:rPr>
                <w:rFonts w:ascii="Arial" w:cs="Arial" w:eastAsia="Arial" w:hAnsi="Arial"/>
                <w:sz w:val="14"/>
                <w:szCs w:val="14"/>
                <w:b w:val="1"/>
                <w:bCs w:val="1"/>
                <w:color w:val="auto"/>
              </w:rPr>
              <w:t>(a) (b)</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July 31, 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 ended July 31, 2019</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right="339" w:hanging="326"/>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DCF ratio is calculated as Distributable cash flow attributable to equity investors divided by Cash distributions paid to equity investors.</w:t>
      </w:r>
    </w:p>
    <w:p>
      <w:pPr>
        <w:spacing w:after="0" w:line="170" w:lineRule="exact"/>
        <w:rPr>
          <w:rFonts w:ascii="Arial" w:cs="Arial" w:eastAsia="Arial" w:hAnsi="Arial"/>
          <w:sz w:val="18"/>
          <w:szCs w:val="18"/>
          <w:color w:val="auto"/>
        </w:rPr>
      </w:pPr>
    </w:p>
    <w:p>
      <w:pPr>
        <w:ind w:left="700" w:right="159" w:hanging="326"/>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NM – Not Meaningful - we have not paid any cash distributions to our common unitholders since the distribution paid in the first quarter of fiscal 2019 for the three months ended July 31, 2018.</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For fiscal 2020, Distributable cash flow attributable to equity investors increased $41.1 million compared to fiscal 2019, primarily due to the increase in Adjusted EBITDA and the reduction in maintenance capital expenditures, partially offset by the increase in net cash interest expense. Thus, cash reserves, which we utilize to meet future anticipated expenditures, increased by $63.5 million during fiscal 2020 compared to an increase of $12.3 million during fiscal 2019 due to a $41.1 million increase in distributable cash flow attributable to equity investors and a $10.1 million decrease in cash distributions paid to equity investors.</w:t>
      </w:r>
    </w:p>
    <w:p>
      <w:pPr>
        <w:spacing w:after="0" w:line="19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During periods of high volatility, our risk management activities may expose us to the risk of counterparty margin calls in amounts greater than we have the capacity to fund. Likewise, our counterparties may not be able to fulfill their margin calls from us or may default on the settlement of positions with us.</w:t>
      </w:r>
    </w:p>
    <w:p>
      <w:pPr>
        <w:spacing w:after="0" w:line="184"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Our working capital requirements are subject to, among other things, the price of propane, delays in the collection of receivables, volatility in energy commodity prices, liquidity imposed by insurance providers, downgrades in our credit ratings, decreased trade credit, significant acquisitions, the weather, customer retention and purchasing patterns and other changes in the demand for propane. Relatively colder weather or higher propane prices during the winter heating season are factors that could significantly increase our working capital requirements.</w:t>
      </w:r>
    </w:p>
    <w:p>
      <w:pPr>
        <w:spacing w:after="0" w:line="1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Our ability to satisfy our obligations is dependent upon our future performance, which will be subject to prevailing weather, economic, financial and business conditions and other factors, many of which are beyond our control. Due to the seasonality of the retail propane distribution business, a significant portion of our propane operations and related products cash flows from operations is generated during the winter heating season. Our net cash provided by operating activities primarily reflects earnings from our business activities adjusted for depreciation and amortization and changes in our working capital accounts. Historically, we generate significantly lower net cash from operating activities in our first and fourth fiscal quarters as compared to the second and third fiscal quarters due to the seasonality of our propane operations and related equipment sales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Partners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2020 v Fiscal 2019</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Net cash provided by operating activities was $112.8 million for fiscal 2020, compared to net cash provided by operating activities of $15.1 million for fiscal 2019. This increase in cash provided by operating activities was primarily due to a $77.3 million decrease in working capital requirements, a $14.6 million increase in cash flow from operations and a $5.8 million inflow associated with other assets and other liabilities.</w:t>
      </w:r>
    </w:p>
    <w:p>
      <w:pPr>
        <w:spacing w:after="0" w:line="171"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decrease in working capital requirements for fiscal 2020 compared to fiscal 2019 was primarily due to a $35.1 million decrease in accrued interest expense, a $34.0 million decrease in prepaid expenses and other current assets, a $14.6 million decrease in requirements for accounts payable due to timing of payments, and an $8.6 million decrease in other current liabilities partially offset by a $19.6 million increase in requirements for accounts and notes receivable, partially due to increases in the volume of propane sold.</w:t>
      </w:r>
    </w:p>
    <w:p>
      <w:pPr>
        <w:spacing w:after="0" w:line="188" w:lineRule="exact"/>
        <w:rPr>
          <w:sz w:val="20"/>
          <w:szCs w:val="20"/>
          <w:color w:val="auto"/>
        </w:rPr>
      </w:pPr>
    </w:p>
    <w:p>
      <w:pPr>
        <w:ind w:left="60" w:right="239" w:firstLine="648"/>
        <w:spacing w:after="0" w:line="269" w:lineRule="auto"/>
        <w:rPr>
          <w:sz w:val="20"/>
          <w:szCs w:val="20"/>
          <w:color w:val="auto"/>
        </w:rPr>
      </w:pPr>
      <w:r>
        <w:rPr>
          <w:rFonts w:ascii="Arial" w:cs="Arial" w:eastAsia="Arial" w:hAnsi="Arial"/>
          <w:sz w:val="17"/>
          <w:szCs w:val="17"/>
          <w:color w:val="auto"/>
        </w:rPr>
        <w:t>The increase in cash flow from operations was primarily due to a $41.3 million increase in gross profit and a net decrease in "General and administrative expense" and "Equipment lease expense" of $14.3 million, partially offset by a $24.2 million increase in “Operating expense - personnel, vehicle, plant and other”, primarily due to $17.3 million of bad debt expense on the Revised Jamex Promissory Note, as more fully described in Item 7. “Management’s Discussion and Analysis of Financial Condition and Results of Operations –Termination of Bridger agreement with Jamex Marketing, LLC” above, a $17.5 million prepayment premium made in connection with the extinguishment of our Senior Secured Credit Facility, and a $15.3 million increase in "Interest expense" resulting from increased borrowings related to the issuance in April 2020 of our new $700.0 million senior secured notes, which replaced our terminated Senior Secured Credit Facility. As further discussed below, the Senior Secured Credit Facility was terminated on April 16, 2020 in connection with the issuance of the new senior secured notes.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operating partnership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2020 v Fiscal 2019</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Net cash provided by operating activities was $128.3 million for fiscal 2020, compared to net cash provided by operating activities of $46.0 million for fiscal 2019. This increase in net cash provided by operating activities was primarily due to a $61.8 million decrease in working capital requirements, a $15.3 million increase in cash flow from operations and a $4.9 million inflow associated with other assets and other liabilities.</w:t>
      </w:r>
    </w:p>
    <w:p>
      <w:pPr>
        <w:spacing w:after="0" w:line="187"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decrease in working capital requirements for fiscal 2020 compared to fiscal 2019 was primarily due to a $33.8 million decrease in prepaid expenses and other current assets, a $19.7 million decrease in accrued interest expense, a $14.6 million decrease in requirements for accounts payable due to timing of payments, and an $8.6 million decrease in other current liabilities, partially offset by a $19.6 million increase in requirements for accounts and notes receivable, partially due to increases in the volume of propane sold.</w:t>
      </w:r>
    </w:p>
    <w:p>
      <w:pPr>
        <w:spacing w:after="0" w:line="188" w:lineRule="exact"/>
        <w:rPr>
          <w:sz w:val="20"/>
          <w:szCs w:val="20"/>
          <w:color w:val="auto"/>
        </w:rPr>
      </w:pPr>
    </w:p>
    <w:p>
      <w:pPr>
        <w:ind w:left="60" w:right="239" w:firstLine="648"/>
        <w:spacing w:after="0" w:line="269" w:lineRule="auto"/>
        <w:rPr>
          <w:sz w:val="20"/>
          <w:szCs w:val="20"/>
          <w:color w:val="auto"/>
        </w:rPr>
      </w:pPr>
      <w:r>
        <w:rPr>
          <w:rFonts w:ascii="Arial" w:cs="Arial" w:eastAsia="Arial" w:hAnsi="Arial"/>
          <w:sz w:val="17"/>
          <w:szCs w:val="17"/>
          <w:color w:val="auto"/>
        </w:rPr>
        <w:t>The increase in cash flow from operations was primarily due to a $41.3 million increase in gross profit and a net decrease in "General and administrative expense" and "Equipment lease expense" of $14.4 million, partially offset by a $24.2 million increase in “Operating expense - personnel, vehicle, plant and other”, primarily due to $17.3 million of bad debt expense on the Revised Jamex Promissory Note, as more fully described in Item 7. Management’s Discussion and Analysis of Financial Condition and Results of Operations –Termination of Bridger agreement with Jamex Marketing, LLC” above, a $17.5 million prepayment premium made in connection with the extinguishment of our Senior Secured Credit Facility, and a $17.3 million increase in "Interest expense," resulting from increased borrowings related to the issuance in April 2020 of our new $700.0 million senior secured notes, which replaced our terminated Senior Secured Credit Facility. As further discussed below, the Senior Secured Credit Facility was terminated on April 16, 2020 in connection with the issuance of the new senior secured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Partners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 Requirements</w:t>
      </w:r>
    </w:p>
    <w:p>
      <w:pPr>
        <w:spacing w:after="0" w:line="225"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Our business requires continual investments to upgrade or enhance existing operations and to ensure compliance with safety and environmental regulations. Capital expenditures for our business consist primarily of:</w:t>
      </w:r>
    </w:p>
    <w:p>
      <w:pPr>
        <w:spacing w:after="0" w:line="146" w:lineRule="exact"/>
        <w:rPr>
          <w:sz w:val="20"/>
          <w:szCs w:val="20"/>
          <w:color w:val="auto"/>
        </w:rPr>
      </w:pPr>
    </w:p>
    <w:p>
      <w:pPr>
        <w:ind w:left="1020" w:right="219" w:hanging="322"/>
        <w:spacing w:after="0" w:line="25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Maintenance capital expenditures. These capital expenditures include expenditures for betterment and replacement of property, plant and equipment, and from time to time, can include the purchase of assets that are typically leased, rather than to generate incremental distributable cash flow. Examples of maintenance capital expenditures include a routine replacement of a worn-out asset or replacement of major vehicle components; and</w:t>
      </w:r>
    </w:p>
    <w:p>
      <w:pPr>
        <w:spacing w:after="0" w:line="187" w:lineRule="exact"/>
        <w:rPr>
          <w:rFonts w:ascii="Arial" w:cs="Arial" w:eastAsia="Arial" w:hAnsi="Arial"/>
          <w:sz w:val="18"/>
          <w:szCs w:val="18"/>
          <w:color w:val="auto"/>
        </w:rPr>
      </w:pPr>
    </w:p>
    <w:p>
      <w:pPr>
        <w:ind w:left="1020" w:right="99" w:hanging="322"/>
        <w:spacing w:after="0" w:line="286"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Growth capital expenditures. These expenditures are undertaken primarily to generate incremental distributable cash flow. Examples include expenditures for purchases of both bulk and portable propane tanks and other equipment to facilitate expansion of our customer base and operating capacity.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2020 v Fiscal 2019</w:t>
      </w:r>
    </w:p>
    <w:p>
      <w:pPr>
        <w:spacing w:after="0" w:line="225" w:lineRule="exact"/>
        <w:rPr>
          <w:sz w:val="20"/>
          <w:szCs w:val="20"/>
          <w:color w:val="auto"/>
        </w:rPr>
      </w:pPr>
    </w:p>
    <w:p>
      <w:pPr>
        <w:ind w:left="60" w:right="419" w:firstLine="648"/>
        <w:spacing w:after="0" w:line="296" w:lineRule="auto"/>
        <w:rPr>
          <w:sz w:val="20"/>
          <w:szCs w:val="20"/>
          <w:color w:val="auto"/>
        </w:rPr>
      </w:pPr>
      <w:r>
        <w:rPr>
          <w:rFonts w:ascii="Arial" w:cs="Arial" w:eastAsia="Arial" w:hAnsi="Arial"/>
          <w:sz w:val="16"/>
          <w:szCs w:val="16"/>
          <w:color w:val="auto"/>
        </w:rPr>
        <w:t>Net cash used in investing activities was $71.3 million for fiscal 2020, compared to net cash used in investing activities of $124.3 million for fiscal 2019. This decrease in net cash used in investing activities was primarily due to a $41.1 million increase in “Cash receipts in connection with leased vehicles”, a $38.4 million decrease in “Capital expenditures” and a $3.4 million decrease in "Business acquisitions, net of cash acquired", partially offset by a $27.1 million increase in "Cash payments to construct assets in connection with future lease transactions”.</w:t>
      </w:r>
    </w:p>
    <w:p>
      <w:pPr>
        <w:spacing w:after="0" w:line="161"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decrease in "Capital expenditures" during fiscal 2020 was primarily due to a decrease in maintenance capital expenditures, and to a lesser extent a decrease in growth capital expenditures. The decrease in maintenance capital expenditures was primarily related to the purchase of new propane delivery trucks funded through cash on hand, during fiscal 2019 compared to fiscal 2020. The decrease in growth capital expenditures was primarily due to decreases in the number of cylinders and cages purchased, decreases in growth capital expenditures related to tank exchange production plants, and decreases in growth capital expenditures related to new propane delivery trucks during fiscal 2020 compared to fiscal 2019.</w:t>
      </w:r>
    </w:p>
    <w:p>
      <w:pPr>
        <w:spacing w:after="0" w:line="18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decrease in "Business acquisitions, net of cash acquired" is attributable to executing three acquisitions during fiscal 2020 compared to executing seven acquisitions during fiscal 2019.</w:t>
      </w:r>
    </w:p>
    <w:p>
      <w:pPr>
        <w:spacing w:after="0" w:line="170"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Due to the mature nature of our operations we do not anticipate significant fluctuations in maintenance capital expenditures, with the exception of future decisions regarding lease versus buy financing options. However, future fluctuations in growth capital expenditures could occur due to the opportunistic nature of these projects.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operating partnership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investing activities discussed above also apply to the operating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Partners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2020 v Fiscal 2019</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Net cash provided by financing activities was $281.2 million for fiscal 2020, compared to net cash provided by financing activities of $1.0 million for fiscal 2019. This increase in cash flow provided by financing activities was primarily due to $703.8 million of gross proceeds from the offering of senior secured first lien notes due 2025, as discussed below, as well as a $9.8 million reduction in distributions. These increases were partially offset by a $283.4 million reduction in long-term debt resulting from the termination of our Senior Secured Credit Facility, as discussed below, as well as a $119.2 million net reduction in short-term borrowings and a $28.9 million increase in cash paid for financing costs.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No distributions were paid to common unitholders during fiscal 2020. Total distributions paid to common unitholders during fiscal 2019, including the related general partner distributions, was $9.8 million. The general partner expects that Ferrellgas Partners will continue to be prohibited from making common unit distributions for any future quarterly period unless and until the outstanding notes of Ferrellgas Partners due 2020 are restructured, refinanced or otherwise satisfied. see “Management’s Discussion and Analysis of Financial Condition and Results of Operations — Recent Developments – Forbearance Agreement with respect to Ferrellgas Partners’ 8.625% Unsecured Senior Notes due June 15, 2020” above for additional discussion on the Ferrellgas Partners Notes.</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 due 2025 and senior secured credit facility</w:t>
      </w:r>
    </w:p>
    <w:p>
      <w:pPr>
        <w:spacing w:after="0" w:line="225"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On April 16, 2020, the operating partnership issued $700.0 million aggregate principal amount of 10.00% senior secured first lien notes due 2025, $575.0 million of which was issued at par and $125.0 million of which was issued at 103% of par. The operating partnership utilized a portion of the net proceeds of that offering to repay all $283.9 million of the outstanding borrowings under its Senior Secured Credit Facility, together with $3.1 million of accrued interest and a $17.5 million prepayment premium and terminated that facility. Additionally, the operating partnership used a portion of the net proceeds from that offering to cash collateralize all of the letters of credit outstanding under the Senior Secured Credit Facility and to make a cash deposit of $11.5 million with the administrative agent under the Senior Secured Credit Facility, which may be used by the administrative agent to pay contingent obligations arising under the Financing Agreement that governed the Senior Secured Credit Facility. To the extent the cash deposit is not used to pay any such contingent obligations, it will be returned to the operating partnership in certain circumstances. The operating partnership intends to use the remaining net proceeds for general corporate purposes.</w:t>
      </w:r>
    </w:p>
    <w:p>
      <w:pPr>
        <w:spacing w:after="0" w:line="17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As of July 31, 2020, the operating partnership had previously terminated its Senior Secured Credit Facility in connection with the issuance of the senior secured first lien notes due 2025. The operating partnership has not entered into a new credit facility as of July 31, 2020. As of July 31, 2019, the operating partnership had outstanding borrowings under its Senior Secured Credit Facility of $275.0 million under the term loan (the “Term Loan”) at an interest rate of 8.16%, which was then classified as current, and $43.0 million under the revolving line of credit (the “Revolving Facility”) at an interest rate of 9.47%, which was classified as short-term borrowings. As of July 31, 2019, the operating partnership had available borrowing capacity under the Revolving Facility of $155.1 million.</w:t>
      </w:r>
    </w:p>
    <w:p>
      <w:pPr>
        <w:spacing w:after="0" w:line="177"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Letters of credit outstanding at July 31, 2020 and 2019 totaled $126.0 million and $101.9 million, respectively, and were used to secure insurance arrangements, product purchases, and commodity hedges. At July 31, 2020, due to the termination of the Senior Secured Credit Facility, Ferrellgas did not have in place a credit facility providing for the issuance of letters of credit and had $78.2 million of restricted cash pledged as cash collateral for letters of credit outstanding. During the quarter ended July 31, 2020, we also issued letters of credit of $50.0 million by utilizing our liquidity available on the accounts receivable securitization facility. At July 31, 2019, the operating partnership had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remaining available letter of credit capacity under the Senior Secured Credit Facility of $23.1 million. Ferrellgas incurred commitment fees of $0.5 million and $1.0 million in fiscal 2020 and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 securitization facility</w:t>
      </w:r>
    </w:p>
    <w:p>
      <w:pPr>
        <w:spacing w:after="0" w:line="225"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7"/>
          <w:szCs w:val="17"/>
          <w:color w:val="auto"/>
        </w:rPr>
        <w:t>We utilize an accounts receivable securitization facility for the purpose of providing additional short-term working capital funding, especially during the winter heating months. As part of this facility, we transfer an interest in a pool of our trade accounts receivable to Ferrellgas Receivables, LLC, a consolidated and wholly-owned,</w:t>
      </w:r>
    </w:p>
    <w:p>
      <w:pPr>
        <w:jc w:val="both"/>
        <w:ind w:left="60" w:right="419"/>
        <w:spacing w:after="0" w:line="281" w:lineRule="auto"/>
        <w:rPr>
          <w:sz w:val="20"/>
          <w:szCs w:val="20"/>
          <w:color w:val="auto"/>
        </w:rPr>
      </w:pPr>
      <w:r>
        <w:rPr>
          <w:rFonts w:ascii="Arial" w:cs="Arial" w:eastAsia="Arial" w:hAnsi="Arial"/>
          <w:sz w:val="16"/>
          <w:szCs w:val="16"/>
          <w:color w:val="auto"/>
        </w:rPr>
        <w:t>qualifying special purpose subsidiary, which in turn sells this interest to certain financial institutions. We remit daily to Ferrellgas Receivables, LLC funds collected on its pool of trade accounts receivables. Expenses associated with these accounts receivable securitization transactions are recorded in “Interest expense” in the consolidated statements</w:t>
      </w:r>
    </w:p>
    <w:p>
      <w:pPr>
        <w:spacing w:after="0" w:line="2" w:lineRule="exact"/>
        <w:rPr>
          <w:sz w:val="20"/>
          <w:szCs w:val="20"/>
          <w:color w:val="auto"/>
        </w:rPr>
      </w:pPr>
    </w:p>
    <w:p>
      <w:pPr>
        <w:ind w:left="60" w:right="879"/>
        <w:spacing w:after="0" w:line="260" w:lineRule="auto"/>
        <w:rPr>
          <w:sz w:val="20"/>
          <w:szCs w:val="20"/>
          <w:color w:val="auto"/>
        </w:rPr>
      </w:pPr>
      <w:r>
        <w:rPr>
          <w:rFonts w:ascii="Arial" w:cs="Arial" w:eastAsia="Arial" w:hAnsi="Arial"/>
          <w:sz w:val="18"/>
          <w:szCs w:val="18"/>
          <w:color w:val="auto"/>
        </w:rPr>
        <w:t>of operations. Additionally, borrowings and repayments associated with these transactions are recorded in “Cash flows from financing activities” in the consolidated statements of cash flows.</w:t>
      </w:r>
    </w:p>
    <w:p>
      <w:pPr>
        <w:spacing w:after="0" w:line="18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Cash flows from our accounts receivable securitization facility decreased $66.0 million, as we reduced our net cash funding by $62.0 million from this facility during fiscal 2020 as compared to receiving net cash funding of $4.0 million from this facility during fiscal 2019. We issued letters of credit of $50.0 million by utilizing our liquidity available on the accounts receivable securitization facility.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utilization of the accounts receivable securitization facility is limited by the amount of accounts receivable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that we are permitted to securitize according to the agreement governing our accounts receivable securitization facility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“Purchase Agreement”). As our trade accounts receivable increase during the winter heating season, the facility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permits us to receive greater proceeds as eligible trade accounts receivable increase, thereby providing additional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working capital needs. Specifically, the aggregate amount of proceeds we are able to receive under the facility is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equal to the lesser of (1) the balance of our eligible trade accounts receivable (reduced in certain circumstances based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concentration of customers owing such accounts receivable) less specified reserve amounts and (2) the</w:t>
      </w:r>
    </w:p>
    <w:p>
      <w:pPr>
        <w:spacing w:after="0" w:line="9"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seasonally adjusted total commitments of the purchasers under the facility. The total commitments of the purchasers are $250.0 million during the months of December through March, $200.0 million during the months of November, April and May, and $150.0 million during the months of June through October.</w:t>
      </w:r>
    </w:p>
    <w:p>
      <w:pPr>
        <w:spacing w:after="0" w:line="190"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As of July 31, 2020, we had no cash proceeds from our trade accounts receivables securitized, with $11.0 million remaining capacity to receive additional proceeds or issue letters of credit.</w:t>
      </w:r>
    </w:p>
    <w:p>
      <w:pPr>
        <w:spacing w:after="0" w:line="170"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The Purchase Agreement requires us to maintain a fixed charge coverage ratio of not less than 1.00x and a senior secured leverage ratio of not greater than 3.00x. We were in compliance with these financial ratio requirements as of July 31, 2020. However, if at any time we are not in compliance with these financial ratio requirements, we will be unable to access the facility for working capital or other cash requirements and the facility may be terminated. On April 10, 2020, the operating partnership entered into a ninth amendment to the Purchase Agreement, which amended and restated the “amortization event” (the occurrence of which permits the administrative agent or the purchasers to, among other things, immediately terminate the facility) related to the senior secured leverage ratio of the operating partnership and the definition of “Consolidated Total Secured Debt” in the Purchase Agreement to, among other matters, provide that obligations with respect to cash collateralized letters of credit are excluded from Consolidated Total Secured Debt and, therefore, from the calculation of the senior secured leverage ratio, beginning with the fiscal quarter ended January 31, 2020. The ninth amendment also amended the Purchase Agreement to (i) increase the interest rate applicable margin by</w:t>
      </w:r>
    </w:p>
    <w:p>
      <w:pPr>
        <w:spacing w:after="0" w:line="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0.5% to 2.5% (or 4.5% while an amortization event under the Purchase Agreement exists) and (ii) increase the interest rate floors for the alternate base rate and LIBOR from 0.0% to 1.0%. This facility matures in May 2021 and includes an option, at our request and consent, for the purchasers in their sole discretion to extend the facility for up to an additional three years.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portion of long-term debt</w:t>
      </w:r>
    </w:p>
    <w:p>
      <w:pPr>
        <w:spacing w:after="0" w:line="225"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As of July 31, 2020, Ferrellgas Partners’ $357.0 million aggregate principal amount of 8.625% unsecured senior notes due June 15, 2020 and the operating partnership’s $500.0 million aggregate principal amount of 6.50% senior notes due 2021 are classified as current. See Note I – Debt for additional detail.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operating partnership</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financing activities discussed above also apply to the operating partnership except for cash flows related to distributions paid, as discussed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distributions paid</w:t>
      </w:r>
    </w:p>
    <w:p>
      <w:pPr>
        <w:spacing w:after="0" w:line="225"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operating partnership paid cash distributions of $15.7 million and $41.1 million during fiscal 2020 and fiscal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Disclosures about Effects of Transactions with Related Parties</w:t>
      </w:r>
    </w:p>
    <w:p>
      <w:pPr>
        <w:spacing w:after="0" w:line="229"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have no employees and are managed and controlled by our general partner. Pursuant to our partnership agreements,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$290.3 million for fiscal 2020, include operating expenses such as compensation and benefits paid to employees of our general partner who perform services on our behalf as well as related general and administrative expenses.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Related party common unitholder information consisted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Common unit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ownership at</w:t>
            </w:r>
          </w:p>
        </w:tc>
        <w:tc>
          <w:tcPr>
            <w:tcW w:w="1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paid during the year ended</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July 31, 2020</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2"/>
              </w:rPr>
              <w:t>July 31, 2020</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Ferrell Companies (1)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22,529,361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FCI Trading Corp. (2)</w:t>
            </w:r>
          </w:p>
        </w:tc>
        <w:tc>
          <w:tcPr>
            <w:tcW w:w="920" w:type="dxa"/>
            <w:vAlign w:val="bottom"/>
          </w:tcPr>
          <w:p>
            <w:pPr>
              <w:jc w:val="right"/>
              <w:spacing w:after="0"/>
              <w:rPr>
                <w:sz w:val="20"/>
                <w:szCs w:val="20"/>
                <w:color w:val="auto"/>
              </w:rPr>
            </w:pPr>
            <w:r>
              <w:rPr>
                <w:rFonts w:ascii="Arial" w:cs="Arial" w:eastAsia="Arial" w:hAnsi="Arial"/>
                <w:sz w:val="18"/>
                <w:szCs w:val="18"/>
                <w:color w:val="auto"/>
              </w:rPr>
              <w:t>195,686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Ferrell Propane, Inc. (3)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James E. Ferrell (4)</w:t>
            </w:r>
          </w:p>
        </w:tc>
        <w:tc>
          <w:tcPr>
            <w:tcW w:w="920" w:type="dxa"/>
            <w:vAlign w:val="bottom"/>
          </w:tcPr>
          <w:p>
            <w:pPr>
              <w:jc w:val="right"/>
              <w:spacing w:after="0"/>
              <w:rPr>
                <w:sz w:val="20"/>
                <w:szCs w:val="20"/>
                <w:color w:val="auto"/>
              </w:rPr>
            </w:pPr>
            <w:r>
              <w:rPr>
                <w:rFonts w:ascii="Arial" w:cs="Arial" w:eastAsia="Arial" w:hAnsi="Arial"/>
                <w:sz w:val="18"/>
                <w:szCs w:val="18"/>
                <w:color w:val="auto"/>
              </w:rPr>
              <w:t>4,763,475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right="99" w:hanging="330"/>
        <w:spacing w:after="0" w:line="279"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Ferrell Companies is the owner of the general partner and is an approximate 23% direct owner of Ferrellgas Partners’ common units and thus a related party. Ferrell Companies also beneficially owns 195,686 and 51,204 common units of Ferrellgas Partners held by FCI Trading Corp. (“FCI Trading”) and Ferrell Propane, Inc. (“Ferrell Propane”), respectively, bringing Ferrell Companies’ beneficial ownership to 23.4% at July 31, 2020.</w:t>
      </w:r>
    </w:p>
    <w:p>
      <w:pPr>
        <w:spacing w:after="0" w:line="171" w:lineRule="exact"/>
        <w:rPr>
          <w:rFonts w:ascii="Arial" w:cs="Arial" w:eastAsia="Arial" w:hAnsi="Arial"/>
          <w:sz w:val="17"/>
          <w:szCs w:val="17"/>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FCI Trading is an affiliate of the general partner and thus a related party.</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Ferrell Propane is controlled by the general partner and thus a related party.</w:t>
      </w:r>
    </w:p>
    <w:p>
      <w:pPr>
        <w:spacing w:after="0" w:line="225" w:lineRule="exact"/>
        <w:rPr>
          <w:rFonts w:ascii="Arial" w:cs="Arial" w:eastAsia="Arial" w:hAnsi="Arial"/>
          <w:sz w:val="18"/>
          <w:szCs w:val="18"/>
          <w:color w:val="auto"/>
        </w:rPr>
      </w:pPr>
    </w:p>
    <w:p>
      <w:pPr>
        <w:ind w:left="380" w:right="79" w:hanging="330"/>
        <w:spacing w:after="0" w:line="293"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James E. Ferrell is the Interim Chief Executive Officer and President of our general partner; and is the Chairman of the Board of Directors of our general partner. JEF Capital Management owns 4,758,859 of these common units and is owned by the James E. Ferrell Revocable Trust Two and other family trusts, all of which James E. Ferrell and/or his family members are trustees and beneficiaries. James E. Ferrell holds all voting common stock of JEF Capital Management. The remaining 4,616 common units are held by Ferrell Resources Holdings, Inc., which is wholly-owned by the James E. Ferrell Revocable Trust One, for which James E. Ferrell is the trustee and sole beneficiary.</w:t>
      </w:r>
    </w:p>
    <w:p>
      <w:pPr>
        <w:spacing w:after="0" w:line="164"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During fiscal 2020, the operating partnership paid the general partner distributions of $0.2 million.</w:t>
      </w:r>
    </w:p>
    <w:p>
      <w:pPr>
        <w:spacing w:after="0" w:line="225"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As discussed previously, Ferrellgas Partners was not in compliance with the consolidated fixed charge coverage ratio under its indenture, and thus was unable to make restricted payments, including distributions to unitholders after September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performance of our operations, we are bound by certain contractual obligations.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contractual obligations at July 31, 2020:</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3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88"/>
              </w:rPr>
              <w:t>Payment or settlement due by fiscal year</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2021</w:t>
            </w:r>
          </w:p>
        </w:tc>
        <w:tc>
          <w:tcPr>
            <w:tcW w:w="780" w:type="dxa"/>
            <w:vAlign w:val="bottom"/>
            <w:gridSpan w:val="2"/>
          </w:tcPr>
          <w:p>
            <w:pPr>
              <w:jc w:val="right"/>
              <w:ind w:right="128"/>
              <w:spacing w:after="0" w:line="129" w:lineRule="exact"/>
              <w:rPr>
                <w:sz w:val="20"/>
                <w:szCs w:val="20"/>
                <w:color w:val="auto"/>
              </w:rPr>
            </w:pPr>
            <w:r>
              <w:rPr>
                <w:rFonts w:ascii="Arial" w:cs="Arial" w:eastAsia="Arial" w:hAnsi="Arial"/>
                <w:sz w:val="13"/>
                <w:szCs w:val="13"/>
                <w:b w:val="1"/>
                <w:bCs w:val="1"/>
                <w:color w:val="auto"/>
              </w:rPr>
              <w:t>2022</w:t>
            </w:r>
          </w:p>
        </w:tc>
        <w:tc>
          <w:tcPr>
            <w:tcW w:w="780" w:type="dxa"/>
            <w:vAlign w:val="bottom"/>
            <w:gridSpan w:val="2"/>
          </w:tcPr>
          <w:p>
            <w:pPr>
              <w:jc w:val="right"/>
              <w:ind w:right="128"/>
              <w:spacing w:after="0" w:line="129" w:lineRule="exact"/>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89"/>
              <w:spacing w:after="0" w:line="129" w:lineRule="exact"/>
              <w:rPr>
                <w:sz w:val="20"/>
                <w:szCs w:val="20"/>
                <w:color w:val="auto"/>
              </w:rPr>
            </w:pPr>
            <w:r>
              <w:rPr>
                <w:rFonts w:ascii="Arial" w:cs="Arial" w:eastAsia="Arial" w:hAnsi="Arial"/>
                <w:sz w:val="13"/>
                <w:szCs w:val="13"/>
                <w:b w:val="1"/>
                <w:bCs w:val="1"/>
                <w:color w:val="auto"/>
                <w:w w:val="96"/>
              </w:rPr>
              <w:t>2024</w:t>
            </w:r>
          </w:p>
        </w:tc>
        <w:tc>
          <w:tcPr>
            <w:tcW w:w="800" w:type="dxa"/>
            <w:vAlign w:val="bottom"/>
            <w:gridSpan w:val="2"/>
          </w:tcPr>
          <w:p>
            <w:pPr>
              <w:jc w:val="right"/>
              <w:ind w:right="148"/>
              <w:spacing w:after="0" w:line="129" w:lineRule="exact"/>
              <w:rPr>
                <w:sz w:val="20"/>
                <w:szCs w:val="20"/>
                <w:color w:val="auto"/>
              </w:rPr>
            </w:pPr>
            <w:r>
              <w:rPr>
                <w:rFonts w:ascii="Arial" w:cs="Arial" w:eastAsia="Arial" w:hAnsi="Arial"/>
                <w:sz w:val="13"/>
                <w:szCs w:val="13"/>
                <w:b w:val="1"/>
                <w:bCs w:val="1"/>
                <w:color w:val="auto"/>
              </w:rPr>
              <w:t>2025</w:t>
            </w:r>
          </w:p>
        </w:tc>
        <w:tc>
          <w:tcPr>
            <w:tcW w:w="70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8"/>
              </w:rPr>
              <w:t>Thereafter</w:t>
            </w:r>
          </w:p>
        </w:tc>
        <w:tc>
          <w:tcPr>
            <w:tcW w:w="140" w:type="dxa"/>
            <w:vAlign w:val="bottom"/>
          </w:tcPr>
          <w:p>
            <w:pPr>
              <w:spacing w:after="0"/>
              <w:rPr>
                <w:sz w:val="11"/>
                <w:szCs w:val="11"/>
                <w:color w:val="auto"/>
              </w:rPr>
            </w:pPr>
          </w:p>
        </w:tc>
        <w:tc>
          <w:tcPr>
            <w:tcW w:w="760" w:type="dxa"/>
            <w:vAlign w:val="bottom"/>
          </w:tcPr>
          <w:p>
            <w:pPr>
              <w:jc w:val="right"/>
              <w:ind w:right="171"/>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Long-term debt, including current portion (1)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859,120</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$ 476,435</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$ 500,999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$ 700,199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$ 2,537,101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Fixed rate interest obligations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168,313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119,781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103,750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8"/>
              </w:rPr>
              <w:t>70,000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531,844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 obligations (3)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17,999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21,396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Finance lease obligations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10,205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9,580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7,076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10,453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withdrawal liability (5)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Purchase obligations: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Product purchase commitments (6)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24,673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1,097,281</w:t>
            </w:r>
          </w:p>
        </w:tc>
        <w:tc>
          <w:tcPr>
            <w:tcW w:w="14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$ 633,086</w:t>
            </w:r>
          </w:p>
        </w:tc>
        <w:tc>
          <w:tcPr>
            <w:tcW w:w="14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$ 648,391</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95,688</w:t>
            </w: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$ 790,269</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35,532</w:t>
            </w:r>
          </w:p>
        </w:tc>
        <w:tc>
          <w:tcPr>
            <w:tcW w:w="14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$ 3,300,247</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360" w:type="dxa"/>
            <w:vAlign w:val="bottom"/>
            <w:gridSpan w:val="2"/>
            <w:shd w:val="clear" w:color="auto" w:fill="CCEEFF"/>
          </w:tcPr>
          <w:p>
            <w:pPr>
              <w:spacing w:after="0" w:line="84" w:lineRule="exact"/>
              <w:rPr>
                <w:sz w:val="20"/>
                <w:szCs w:val="20"/>
                <w:color w:val="auto"/>
              </w:rPr>
            </w:pPr>
            <w:r>
              <w:rPr>
                <w:rFonts w:ascii="Arial" w:cs="Arial" w:eastAsia="Arial" w:hAnsi="Arial"/>
                <w:sz w:val="9"/>
                <w:szCs w:val="9"/>
                <w:color w:val="auto"/>
              </w:rPr>
              <w:t>Underlying product purchase volume commitments (in</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gallons)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48,720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right="99" w:hanging="326"/>
        <w:spacing w:after="0" w:line="289"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have long and short term payment obligations under agreements such as the indentures governing our secured and unsecured senior notes. Amounts shown in the table represent our scheduled future maturities of long-term debt (including current maturities thereof) for the periods indicated. Fiscal 2021 also includes the Ferrellgas Partners Notes, which matured on June 15, 2020 but have not been repaid and are classified as current in the consolidated balance sheets of Ferrellgas Partners as of July 31, 2020. For additional information regarding our debt obligations, please see “Liquidity and Capital Resources – Financing Activities.” Also see “Management’s Discussion and Analysis of Financial Condition and Results of Operations —Recent Developments – Forbearance Agreement with respect to Ferrellgas Partners’ 8.625% Unsecured Senior Notes due June 15, 2020” above for additional discussion on the Ferrellgas Partners Notes.</w:t>
      </w:r>
    </w:p>
    <w:p>
      <w:pPr>
        <w:spacing w:after="0" w:line="166" w:lineRule="exact"/>
        <w:rPr>
          <w:rFonts w:ascii="Arial" w:cs="Arial" w:eastAsia="Arial" w:hAnsi="Arial"/>
          <w:sz w:val="16"/>
          <w:szCs w:val="16"/>
          <w:color w:val="auto"/>
        </w:rPr>
      </w:pPr>
    </w:p>
    <w:p>
      <w:pPr>
        <w:ind w:left="700" w:right="239" w:hanging="326"/>
        <w:spacing w:after="0" w:line="273"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Fixed rate interest obligations represent the amount of interest due on fixed rate long-term debt. Ferrellgas Partners has an additional $15.4 million of fixed rate interest obligations from the Ferrellgas Partners Notes, discussed above, which matured on June 15, 2020 but have not been repaid. See “Management’s Discussion and Analysis of Financial Condition and Results of Operations —Recent Developments – Forbearance Agreement with respect to Ferrellgas Partners’ 8.625% Unsecured Senior Notes due June 15, 2020” above for additional discussion on the Ferrellgas Partners Notes.</w:t>
      </w:r>
    </w:p>
    <w:p>
      <w:pPr>
        <w:spacing w:after="0" w:line="177" w:lineRule="exact"/>
        <w:rPr>
          <w:rFonts w:ascii="Arial" w:cs="Arial" w:eastAsia="Arial" w:hAnsi="Arial"/>
          <w:sz w:val="17"/>
          <w:szCs w:val="17"/>
          <w:color w:val="auto"/>
        </w:rPr>
      </w:pPr>
    </w:p>
    <w:p>
      <w:pPr>
        <w:jc w:val="both"/>
        <w:ind w:left="700" w:right="359" w:hanging="326"/>
        <w:spacing w:after="0" w:line="26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lease certain property, plant and equipment under noncancelable and cancelable operating leases. Amounts shown in the table represent minimum lease payment obligations under our third-party operating leases for the periods indicated.</w:t>
      </w:r>
    </w:p>
    <w:p>
      <w:pPr>
        <w:spacing w:after="0" w:line="183" w:lineRule="exact"/>
        <w:rPr>
          <w:rFonts w:ascii="Arial" w:cs="Arial" w:eastAsia="Arial" w:hAnsi="Arial"/>
          <w:sz w:val="18"/>
          <w:szCs w:val="18"/>
          <w:color w:val="auto"/>
        </w:rPr>
      </w:pPr>
    </w:p>
    <w:p>
      <w:pPr>
        <w:jc w:val="both"/>
        <w:ind w:left="700" w:right="359" w:hanging="326"/>
        <w:spacing w:after="0" w:line="26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lease certain property, plant and equipment under noncancelable and cancelable financing leases. Amounts shown in the table represent minimum lease payment obligations under our third-party financing leases for the periods indicated.</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These payments relate to a liability incurred in connection with the withdrawal from certain pension plans.</w:t>
      </w:r>
    </w:p>
    <w:p>
      <w:pPr>
        <w:spacing w:after="0" w:line="236" w:lineRule="exact"/>
        <w:rPr>
          <w:rFonts w:ascii="Arial" w:cs="Arial" w:eastAsia="Arial" w:hAnsi="Arial"/>
          <w:sz w:val="17"/>
          <w:szCs w:val="17"/>
          <w:color w:val="auto"/>
        </w:rPr>
      </w:pPr>
    </w:p>
    <w:p>
      <w:pPr>
        <w:ind w:left="700" w:right="99" w:hanging="326"/>
        <w:spacing w:after="0" w:line="288"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define a purchase obligation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propane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July 31, 2020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199"/>
        <w:spacing w:after="0" w:line="263" w:lineRule="auto"/>
        <w:rPr>
          <w:sz w:val="20"/>
          <w:szCs w:val="20"/>
          <w:color w:val="auto"/>
        </w:rPr>
      </w:pPr>
      <w:r>
        <w:rPr>
          <w:rFonts w:ascii="Arial" w:cs="Arial" w:eastAsia="Arial" w:hAnsi="Arial"/>
          <w:sz w:val="18"/>
          <w:szCs w:val="18"/>
          <w:color w:val="auto"/>
        </w:rPr>
        <w:t>fixed price contract payment obligations are based on the contracted fixed price under each commodity contract. Quantities shown in the table represent our volume commitments and estimated payment obligations under these contracts for the periods indicated.</w:t>
      </w:r>
    </w:p>
    <w:p>
      <w:pPr>
        <w:spacing w:after="0" w:line="18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The components of other noncurrent liabilities included in our consolidated balance sheets principally consist of property and casualty liabilities and the fair value of derivatives in connection with our risk management activity. These liabilities are not included in the table above because they are estimates of future payments and not contractually fixed as to timing or amount.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operating partnership</w:t>
      </w:r>
    </w:p>
    <w:p>
      <w:pPr>
        <w:spacing w:after="0" w:line="225"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The contractual obligations table above also applies to the operating partnership, except for long-term debt, including current portion, which is summarized in the table below at July 31, 2020:</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85"/>
              </w:rPr>
              <w:t>Payment or settlement due by fiscal year</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3"/>
              <w:spacing w:after="0" w:line="129" w:lineRule="exact"/>
              <w:rPr>
                <w:sz w:val="20"/>
                <w:szCs w:val="20"/>
                <w:color w:val="auto"/>
              </w:rPr>
            </w:pPr>
            <w:r>
              <w:rPr>
                <w:rFonts w:ascii="Arial" w:cs="Arial" w:eastAsia="Arial" w:hAnsi="Arial"/>
                <w:sz w:val="13"/>
                <w:szCs w:val="13"/>
                <w:b w:val="1"/>
                <w:bCs w:val="1"/>
                <w:color w:val="auto"/>
              </w:rPr>
              <w:t>2021</w:t>
            </w:r>
          </w:p>
        </w:tc>
        <w:tc>
          <w:tcPr>
            <w:tcW w:w="780" w:type="dxa"/>
            <w:vAlign w:val="bottom"/>
            <w:gridSpan w:val="2"/>
          </w:tcPr>
          <w:p>
            <w:pPr>
              <w:jc w:val="right"/>
              <w:ind w:right="128"/>
              <w:spacing w:after="0" w:line="129" w:lineRule="exact"/>
              <w:rPr>
                <w:sz w:val="20"/>
                <w:szCs w:val="20"/>
                <w:color w:val="auto"/>
              </w:rPr>
            </w:pPr>
            <w:r>
              <w:rPr>
                <w:rFonts w:ascii="Arial" w:cs="Arial" w:eastAsia="Arial" w:hAnsi="Arial"/>
                <w:sz w:val="13"/>
                <w:szCs w:val="13"/>
                <w:b w:val="1"/>
                <w:bCs w:val="1"/>
                <w:color w:val="auto"/>
              </w:rPr>
              <w:t>2022</w:t>
            </w:r>
          </w:p>
        </w:tc>
        <w:tc>
          <w:tcPr>
            <w:tcW w:w="780" w:type="dxa"/>
            <w:vAlign w:val="bottom"/>
            <w:gridSpan w:val="2"/>
          </w:tcPr>
          <w:p>
            <w:pPr>
              <w:jc w:val="right"/>
              <w:ind w:right="128"/>
              <w:spacing w:after="0" w:line="129" w:lineRule="exact"/>
              <w:rPr>
                <w:sz w:val="20"/>
                <w:szCs w:val="20"/>
                <w:color w:val="auto"/>
              </w:rPr>
            </w:pPr>
            <w:r>
              <w:rPr>
                <w:rFonts w:ascii="Arial" w:cs="Arial" w:eastAsia="Arial" w:hAnsi="Arial"/>
                <w:sz w:val="13"/>
                <w:szCs w:val="13"/>
                <w:b w:val="1"/>
                <w:bCs w:val="1"/>
                <w:color w:val="auto"/>
              </w:rPr>
              <w:t>2023</w:t>
            </w:r>
          </w:p>
        </w:tc>
        <w:tc>
          <w:tcPr>
            <w:tcW w:w="580" w:type="dxa"/>
            <w:vAlign w:val="bottom"/>
            <w:gridSpan w:val="2"/>
          </w:tcPr>
          <w:p>
            <w:pPr>
              <w:jc w:val="right"/>
              <w:ind w:right="28"/>
              <w:spacing w:after="0" w:line="129" w:lineRule="exact"/>
              <w:rPr>
                <w:sz w:val="20"/>
                <w:szCs w:val="20"/>
                <w:color w:val="auto"/>
              </w:rPr>
            </w:pPr>
            <w:r>
              <w:rPr>
                <w:rFonts w:ascii="Arial" w:cs="Arial" w:eastAsia="Arial" w:hAnsi="Arial"/>
                <w:sz w:val="13"/>
                <w:szCs w:val="13"/>
                <w:b w:val="1"/>
                <w:bCs w:val="1"/>
                <w:color w:val="auto"/>
              </w:rPr>
              <w:t>2024</w:t>
            </w:r>
          </w:p>
        </w:tc>
        <w:tc>
          <w:tcPr>
            <w:tcW w:w="800" w:type="dxa"/>
            <w:vAlign w:val="bottom"/>
            <w:gridSpan w:val="2"/>
          </w:tcPr>
          <w:p>
            <w:pPr>
              <w:jc w:val="right"/>
              <w:ind w:right="148"/>
              <w:spacing w:after="0" w:line="129" w:lineRule="exact"/>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88"/>
              </w:rPr>
              <w:t>Thereafter</w:t>
            </w:r>
          </w:p>
        </w:tc>
        <w:tc>
          <w:tcPr>
            <w:tcW w:w="140" w:type="dxa"/>
            <w:vAlign w:val="bottom"/>
          </w:tcPr>
          <w:p>
            <w:pPr>
              <w:spacing w:after="0"/>
              <w:rPr>
                <w:sz w:val="11"/>
                <w:szCs w:val="11"/>
                <w:color w:val="auto"/>
              </w:rPr>
            </w:pPr>
          </w:p>
        </w:tc>
        <w:tc>
          <w:tcPr>
            <w:tcW w:w="760" w:type="dxa"/>
            <w:vAlign w:val="bottom"/>
          </w:tcPr>
          <w:p>
            <w:pPr>
              <w:jc w:val="right"/>
              <w:ind w:right="173"/>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Long-term debt, including current portion (1)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$ 502,120</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$ 476,435</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$ 500,999</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329</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$ 700,199</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$ 2,180,101</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right="179" w:hanging="326"/>
        <w:spacing w:after="0" w:line="25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operating partnership has long and short term payment obligations under agreements such as the indentures governing our secured and unsecured senior notes. Amounts shown in the table represent our scheduled future maturities of long-term debt (including current maturities thereof) for the periods indicated. For additional information regarding the operating partnership’s debt obligations, please see “Liquidity and Capital Resources – Financing Activities.”</w:t>
      </w:r>
    </w:p>
    <w:p>
      <w:pPr>
        <w:spacing w:after="0" w:line="188"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The components of other noncurrent liabilities included in our consolidated balance sheets principally consist of property and casualty liabilities and the fair value of derivatives in connection with our risk management activity. These liabilities are not included in the table above because they are estimates of future payments and not contractually fixed as to timing or amount.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of July 31, 2020, 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off-balance sheet arrangements primarily include certain letters of credit.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Below is a listing of recently issued accounting pronouncements that we had not yet adopted as of July 31, 2020.</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 of Guidance</w:t>
            </w:r>
          </w:p>
        </w:tc>
        <w:tc>
          <w:tcPr>
            <w:tcW w:w="140" w:type="dxa"/>
            <w:vAlign w:val="bottom"/>
            <w:tcBorders>
              <w:bottom w:val="single" w:sz="8" w:color="CCEEFF"/>
            </w:tcBorders>
          </w:tcPr>
          <w:p>
            <w:pPr>
              <w:spacing w:after="0"/>
              <w:rPr>
                <w:sz w:val="14"/>
                <w:szCs w:val="14"/>
                <w:color w:val="auto"/>
              </w:rPr>
            </w:pPr>
          </w:p>
        </w:tc>
        <w:tc>
          <w:tcPr>
            <w:tcW w:w="42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Effective Date</w:t>
            </w:r>
          </w:p>
        </w:tc>
      </w:tr>
      <w:tr>
        <w:trPr>
          <w:trHeight w:val="195"/>
        </w:trPr>
        <w:tc>
          <w:tcPr>
            <w:tcW w:w="4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Accounting Standard Update No. 2016-13, “</w:t>
            </w:r>
            <w:r>
              <w:rPr>
                <w:rFonts w:ascii="Arial" w:cs="Arial" w:eastAsia="Arial" w:hAnsi="Arial"/>
                <w:sz w:val="18"/>
                <w:szCs w:val="18"/>
                <w:i w:val="1"/>
                <w:iCs w:val="1"/>
                <w:color w:val="auto"/>
              </w:rPr>
              <w:t>Financial</w:t>
            </w:r>
          </w:p>
        </w:tc>
        <w:tc>
          <w:tcPr>
            <w:tcW w:w="140" w:type="dxa"/>
            <w:vAlign w:val="bottom"/>
            <w:shd w:val="clear" w:color="auto" w:fill="CCEEFF"/>
          </w:tcPr>
          <w:p>
            <w:pPr>
              <w:spacing w:after="0"/>
              <w:rPr>
                <w:sz w:val="16"/>
                <w:szCs w:val="16"/>
                <w:color w:val="auto"/>
              </w:rPr>
            </w:pPr>
          </w:p>
        </w:tc>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Fiscal years, and interim reporting periods within</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Instruments - Credit Losses (Topic 326)”</w:t>
            </w: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those years, beginning after December 15, 2019</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us to establish accounting policies and make estimates and assumptions that affect our reported amounts of assets and liabilities at the date of the consolidated financial statements. These financial statements include some estimates and assumptions that are based on informed judgments and estimates of management. We evaluate our policies and estimates on an on-going basis and discuss the development, selection and disclosure of critical accounting policies with the Audit Committee of the Board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of Directors of our general partner. Predicting future events is inherently an imprecise activity and as such requires the use of judgment. Our consolidated financial statements may differ based upon different estimates and assumptions.</w:t>
      </w:r>
    </w:p>
    <w:p>
      <w:pPr>
        <w:spacing w:after="0" w:line="124"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discuss our significant accounting policies in Note B – Summary of significant accounting policies – to our consolidated financial statements. Our significant accounting policies are subject to judgments and uncertainties that affect the application of such policies. We believe these financial statements include the most likely outcomes with regard to amounts that are based on our judgment and estimates. Our financial position and results of operations may be materially different when reported under different conditions or when using different assumptions in the application of such policies. In the event estimates or assumptions prove to be different from the actual amounts, adjustments are made in subsequent periods to reflect more current information. We believe the following accounting policies are critical to the preparation of our consolidated financial statements due to the estimation process and business judgment involved in their application: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of property, plant and equipment</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calculate depreciation on property, plant and equipment using the straight-line method based on the estimated useful lives of the assets ranging from two to 30 years. Changes in the estimated useful lives of our property, plant and equipment could have a material effect on our results of operations. The estimates of the assets’ useful lives require our judgment regarding assumptions about the useful life of the assets being depreciated. When necessary, the depreciable lives are revised and the impact on depreciation is treated on a prospective basis. There were no material revisions to depreciable lives in fiscal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Residual value of customer and storage tanks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use an estimated residual value when calculating depreciation for our customer and bulk storage tanks. Customer and bulk storage tanks are classified as property, plant and equipment on our consolidated balance sheets. The depreciable basis of these tanks is calculated using the original cost less the residual value. Depreciation is calculated using straight-line method based on the tanks’ estimated useful life of 30 years. Changes in the estimated residual value could have a material effect on our results. The estimates of the tanks’ residual value require our judgment of the value of the tanks at the end of their useful life or retirement. When necessary, the tanks’ residual values are revised and the impact on depreciation is treated on a prospective basis. There were no such revisions to residual values in fiscal 2020, 2019 or 2018.</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Valuation methods, amortization methods and estimated useful lives of intangible assets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specific, identifiable intangible assets of a business enterprise depend largely upon the nature of its operations. Potential intangible assets include intellectual property such as trademarks and trade names, customer lists and relationships, and non-compete agreements, permits, favorable lease arrangements as well as other intangible assets. The approach to the valuation of each intangible asset will vary depending upon the nature of the asset, the business in which it is utilized, and the economic returns it is generating or is expected to generate. During fiscal 2020 or 2019, we did not find it necessary to adjust the valuation methods used for any acquired intangible assets.</w:t>
      </w:r>
    </w:p>
    <w:p>
      <w:pPr>
        <w:spacing w:after="0" w:line="16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Our recorded intangible assets primarily include the estimated value assigned to certain customer-related and contract-based assets representing the rights we own arising from the acquisition of propane distribution companies and related contractual agreements. A customer-related or contract-based intangible with a finite useful life is amortized over its estimated useful life, which is the period over which the asset is expected to contribute directly or indirectly to the future cash flows of the entity. We believe that trademarks and trade names have an indefinite useful life due to our intention to utilize all acquired trademarks and trade names. When necessary, the intangible assets’ useful lives are revised and the impact on amortization will be reflected on a prospective basis. The determination of the fair market value of the intangible asset and the estimated useful life are based on an analysis of all pertinent factors including (1) the use of widely-accepted valuation approaches, the income approach or the cost approach, (2) the expected use of the asset by the entity, (3) the expected useful life of related assets, (4) any legal, regulatory or contractual provisions, including renewal or extension periods that would cause substantial costs or modifications to existing agreements, (5)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effects of obsolescence, demand, competition, and other economic factors and (6) the level of maintenance required to obtain the expected future cash flows.</w:t>
      </w:r>
    </w:p>
    <w:p>
      <w:pPr>
        <w:spacing w:after="0" w:line="17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If the underlying assumption(s) governing the amortization of an intangible asset were later determined to have significantly changed (either favorably or unfavorably), then we may be required to adjust the amortization period of such asset to reflect any new estimate of its useful life. Such a change would increase or decrease the annual amortization charge associated with the asset at that time. During fiscal 2020 or 2019, we did not find it necessary to adjust the valuation method, estimated useful life or amortization period of any of our intangible assets.</w:t>
      </w:r>
    </w:p>
    <w:p>
      <w:pPr>
        <w:spacing w:after="0" w:line="17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Should any of the underlying assumptions indicate that the value of the intangible asset might be impaired, we may be required to reduce the carrying value and may also be required to reduce the subsequent useful life of the asset. Any such write-down of the value and any unfavorable change in the useful life (i.e., amortization period) of an intangible asset would increase operating expense at that time.</w:t>
      </w:r>
    </w:p>
    <w:p>
      <w:pPr>
        <w:spacing w:after="0" w:line="187"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We did not recognize any impairment losses related to our intangible assets during fiscal 2020. For additional information regarding our intangible assets, see Note B – Summary of significant accounting policies and Note H – Goodwill and intangible assets, net - to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Accounting for risk management activities and derivative financial instruments</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enter into commodity forward, futures, swaps and options contracts involving propane to hedge exposures to price risk. We may also enter into commodity forward, futures, swaps and options contracts involving diesel, gasoline and related products to hedge exposures to price risk. These derivative contracts are reported in the consolidated balance sheets at fair value with changes in fair value recognized in cost of sales and operating expenses in the consolidated statements of operations or in other comprehensive income in the consolidated statement of partners’ capital. We utilize published settlement prices for exchange-traded contracts, quotes provided by brokers and estimates of market prices based on daily contract activity to estimate the fair value of these contracts. Changes in the methods used to determine the fair value of these contracts could have a material effect on our consolidated balance sheets and consolidated statements of operations. For further discussion of derivative commodity and interest rate contracts, see Item 7A. “Quantitative and Qualitative Disclosures about Market Risk,” Note B – Summary of significant accounting policies, Note L – Fair value measurements and Note M – Derivative instruments and hedging activities – to our consolidated financial statements. We do not anticipate future changes in the methods used to determine the fair value of these derivative contracts.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utilize a binomial valuation tool to compute an estimated fair value of stock-based awards at each balance sheet date. This valuation tool requires a number of inputs, some of which require an estimate to be made by management. Significant estimates include our computation of volatility, the number of groups of employees, the expected term of awards and the forfeiture rate of awards:</w:t>
      </w:r>
    </w:p>
    <w:p>
      <w:pPr>
        <w:spacing w:after="0" w:line="187" w:lineRule="exact"/>
        <w:rPr>
          <w:sz w:val="20"/>
          <w:szCs w:val="20"/>
          <w:color w:val="auto"/>
        </w:rPr>
      </w:pPr>
    </w:p>
    <w:p>
      <w:pPr>
        <w:ind w:left="1020" w:right="99" w:hanging="322"/>
        <w:spacing w:after="0" w:line="301"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stock-based awards plans grant awards out of Ferrell Companies. Ferrell Companies is not a publicly-traded company and management does not believe it can be categorized within any certain industry group. As a result, our volatility computation is highly subjective. If a different volatility factor were used, it could significantly change the fair value assigned to stock-based awards at each balance sheet date.</w:t>
      </w:r>
    </w:p>
    <w:p>
      <w:pPr>
        <w:spacing w:after="0" w:line="157" w:lineRule="exact"/>
        <w:rPr>
          <w:rFonts w:ascii="Arial" w:cs="Arial" w:eastAsia="Arial" w:hAnsi="Arial"/>
          <w:sz w:val="16"/>
          <w:szCs w:val="16"/>
          <w:color w:val="auto"/>
        </w:rPr>
      </w:pPr>
    </w:p>
    <w:p>
      <w:pPr>
        <w:ind w:left="1020" w:right="139" w:hanging="322"/>
        <w:spacing w:after="0" w:line="259"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believes we have three groups of employees that participate in our stock-based compensation plans. If a determination were made that we have a different number of groups of employees, that determination could significantly change the expected term and forfeiture rate assigned to our stock and unit-based awards.</w:t>
      </w:r>
    </w:p>
    <w:p>
      <w:pPr>
        <w:spacing w:after="0" w:line="186" w:lineRule="exact"/>
        <w:rPr>
          <w:rFonts w:ascii="Arial" w:cs="Arial" w:eastAsia="Arial" w:hAnsi="Arial"/>
          <w:sz w:val="18"/>
          <w:szCs w:val="18"/>
          <w:color w:val="auto"/>
        </w:rPr>
      </w:pPr>
    </w:p>
    <w:p>
      <w:pPr>
        <w:ind w:left="1020" w:right="259" w:hanging="322"/>
        <w:spacing w:after="0" w:line="342"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method for computing the expected term of our stock-based awards utilizes a combination of historical exercise patterns and estimates made by management on grantee exercises patterns. This method could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379"/>
        <w:spacing w:after="0" w:line="342" w:lineRule="auto"/>
        <w:rPr>
          <w:sz w:val="20"/>
          <w:szCs w:val="20"/>
          <w:color w:val="auto"/>
        </w:rPr>
      </w:pPr>
      <w:r>
        <w:rPr>
          <w:rFonts w:ascii="Arial" w:cs="Arial" w:eastAsia="Arial" w:hAnsi="Arial"/>
          <w:sz w:val="16"/>
          <w:szCs w:val="16"/>
          <w:color w:val="auto"/>
        </w:rPr>
        <w:t>assign a term to our stock-based awards that is significantly different from their actual terms, which could result in a significant difference in the fair value assigned to the awards at each balance sheet date.</w:t>
      </w:r>
    </w:p>
    <w:p>
      <w:pPr>
        <w:spacing w:after="0" w:line="124" w:lineRule="exact"/>
        <w:rPr>
          <w:sz w:val="20"/>
          <w:szCs w:val="20"/>
          <w:color w:val="auto"/>
        </w:rPr>
      </w:pPr>
    </w:p>
    <w:p>
      <w:pPr>
        <w:ind w:left="1020" w:right="239" w:hanging="322"/>
        <w:spacing w:after="0" w:line="279"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method for computing the expected forfeiture rates of our stock-based awards utilizes a combination of historical forfeiture patterns and estimates made by management on forfeiture patterns. If actual forfeiture rates were to differ significantly from our estimates, it could result in significant differences between actual and reported compensation expense for our stock-based awards.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Litigation accruals and environmental liabilities</w:t>
      </w:r>
    </w:p>
    <w:p>
      <w:pPr>
        <w:spacing w:after="0" w:line="225" w:lineRule="exact"/>
        <w:rPr>
          <w:sz w:val="20"/>
          <w:szCs w:val="20"/>
          <w:color w:val="auto"/>
        </w:rPr>
      </w:pPr>
    </w:p>
    <w:p>
      <w:pPr>
        <w:ind w:left="60" w:right="279" w:firstLine="648"/>
        <w:spacing w:after="0" w:line="271" w:lineRule="auto"/>
        <w:rPr>
          <w:sz w:val="20"/>
          <w:szCs w:val="20"/>
          <w:color w:val="auto"/>
        </w:rPr>
      </w:pPr>
      <w:r>
        <w:rPr>
          <w:rFonts w:ascii="Arial" w:cs="Arial" w:eastAsia="Arial" w:hAnsi="Arial"/>
          <w:sz w:val="17"/>
          <w:szCs w:val="17"/>
          <w:color w:val="auto"/>
        </w:rPr>
        <w:t>Our operations are subject to all operating hazards and risks normally incidental to handling, storing, transporting and otherwise providing for use by consumers of combustible liquids such as propane and, prior to the sales of midstream operations in fiscal 2018, crude oil. As a result, at any given time, we can be threatened with or named as a defendant in various lawsuits arising in the ordinary course of business, and we are a party to several legal proceedings as described in Note O – Contingencies and commitments to our audited consolidated financial statements. It is not possible to determine the ultimate disposition of these matters; however, management is of the opinion that there are no known claims or contingent claims that are reasonably expected to have a material adverse effect on our consolidated financial condition, results of operations and cash flows.</w:t>
      </w:r>
    </w:p>
    <w:p>
      <w:pPr>
        <w:spacing w:after="0" w:line="178"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We are involved in litigation regarding pending claims and legal actions that arise in the normal course of business and may own sites at which hazardous substances may be present. In accordance with GAAP, we establish reserves for pending claims and legal actions or environmental remediation liabilities when it is probable that a liability exists and the amount or range of amounts can be reasonably estimated. Reasonable estimates involve management judgments based on a broad range of information and prior experience. These judgments are reviewed quarterly as more information is received and the amounts reserved are updated as necessary. Such estimated reserves may differ materially from the actual liability and such reserves may change materially as more information becomes available and estimated reserves are adjusted.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impairment</w:t>
      </w:r>
    </w:p>
    <w:p>
      <w:pPr>
        <w:spacing w:after="0" w:line="22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We record goodwill as the excess of the cost of acquisitions over the fair value of the related net assets at the date of acquisition. Goodwill recorded is not deductible for income tax purposes. We have determined that we have one reporting unit for goodwill impairment testing purposes. As of July 31, 2020, this reporting unit contains goodwill that is subject to at least an annual goodwill impairment test. In the first step of the test, the carrying value of each reporting unit is determined by assigning the assets and liabilities, including existing goodwill and intangible assets, to those reporting units as of the date of evaluation. To the extent a reporting unit’s carrying value exceeds it fair value, the reporting unit’s goodwill is impaired. The amount of impairment would be equal to the lesser of the excess of reporting unit carrying value over its fair value and the reporting unit’s recorded amount of goodwill.</w:t>
      </w:r>
    </w:p>
    <w:p>
      <w:pPr>
        <w:spacing w:after="0" w:line="17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We did not enter into any risk management trading activities during fiscal 2020. Our remaining market risk sensitive instruments and positions have been determined to be “other than trading.”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risk management activities primarily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w:t>
      </w:r>
    </w:p>
    <w:p>
      <w:pPr>
        <w:spacing w:after="0" w:line="187" w:lineRule="exact"/>
        <w:rPr>
          <w:sz w:val="20"/>
          <w:szCs w:val="20"/>
          <w:color w:val="auto"/>
        </w:rPr>
      </w:pPr>
    </w:p>
    <w:p>
      <w:pPr>
        <w:jc w:val="both"/>
        <w:ind w:left="60" w:right="399" w:firstLine="648"/>
        <w:spacing w:after="0" w:line="311" w:lineRule="auto"/>
        <w:rPr>
          <w:sz w:val="20"/>
          <w:szCs w:val="20"/>
          <w:color w:val="auto"/>
        </w:rPr>
      </w:pPr>
      <w:r>
        <w:rPr>
          <w:rFonts w:ascii="Arial" w:cs="Arial" w:eastAsia="Arial" w:hAnsi="Arial"/>
          <w:sz w:val="16"/>
          <w:szCs w:val="16"/>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offset by our losses or gains in the forward or financial markets. Propane related financial derivatives are designated as cash flow hedges.</w:t>
      </w:r>
    </w:p>
    <w:p>
      <w:pPr>
        <w:spacing w:after="0" w:line="170"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Our risk management activities include the use of financial derivative instruments including, but not limited to, price futures, swaps, options and basis swaps to seek protection from adverse price movements and to minimize potential losses. We enter into these financial derivative instruments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sales exception within GAAP guidance and are therefore not recorded on our financial statements until settled.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Transportation Fuel Price Risk</w:t>
      </w:r>
    </w:p>
    <w:p>
      <w:pPr>
        <w:spacing w:after="0" w:line="225"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From time to time, our risk management activities also attempt to mitigate price risks related to the purchase of gasoline and diesel fuel for use in the transport of propane from retail fueling stations. When employed, we attempt to mitigate these price risks through the use of financial derivative instruments.</w:t>
      </w:r>
    </w:p>
    <w:p>
      <w:pPr>
        <w:spacing w:after="0" w:line="184"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When employed, our risk management strategy involves taking positions in the financial markets that are not more than the forecasted purchases of fuel for our internal use in the retail and supply propane delivery fleet in order to minimize the risk of decreased earnings from an adverse price change. This risk management strategy locks in our purchase price and is successful when our gains or losses in the physical product markets are offset by our losses or gains in the financial markets. Our transport fuel financial derivatives are not designated as cash flow hedges.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Policy and Sensitivity Analysis</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Market risks associated with energy commodities are monitored daily by senior management for compliance with our commodity risk management policy. This policy includes an aggregate dollar loss limit and limits on the term of various contracts. We also utilize volume limits for various energy commodities and review our positions daily where we remain exposed to market risk, so as to manage exposures to changing market prices.</w:t>
      </w:r>
    </w:p>
    <w:p>
      <w:pPr>
        <w:spacing w:after="0" w:line="171"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We have prepared a sensitivity analysis to estimate the exposure to market risk of our energy commodity positions. Forward contracts, futures, swaps and options outstanding as of July 31, 2020 and July 31, 2019, that were used in our risk management activities were analyzed assuming a hypothetical 10% adverse change in prices for the</w:t>
      </w:r>
    </w:p>
    <w:p>
      <w:pPr>
        <w:spacing w:after="0" w:line="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delivery month for all energy commodities. The potential loss in future earnings from these positions due to a 10% adverse movement in market prices of the underlying energy commodities was estimated at $8.0 million and $8.0 million as of July 31, 2020 and July 31, 2019, respectively. The preceding hypothetical analysis is limited because changes in prices may or may not equal 10%, thus actual results may differ. Our sensitivity analysis does not include the anticipated transactions associated with these transactions, which we anticipate will be 100% effective.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We maintain credit policies with regard to our counterparties that we believe significantly reduce overall credit risk. These policies include evaluating and monitoring counterparties’ financial condition (including credit ratings), and entering into agreements with counterparties that govern credit guidelines.</w:t>
      </w:r>
    </w:p>
    <w:p>
      <w:pPr>
        <w:spacing w:after="0" w:line="184"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Our other counterparties principally consist of major energy companies that are suppliers, marketers, wholesalers, retailers and end users and major U.S. financial institutions. The overall impact due to certain changes in economic, regulatory and other events may impact our overall exposure to credit risk, either positively or negatively in that counterparties may be similarly impacted. Based on our policies, exposures, credit and other reserves, management does not anticipate a material adverse effect on financial position or results of operations as a result of counterparty performance.</w:t>
      </w:r>
    </w:p>
    <w:p>
      <w:pPr>
        <w:spacing w:after="0" w:line="192"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As described in Item 7. “Management’s Discussion and Analysis of Financial Condition and Results of Operations – Termination of Bridger agreement with Jamex Marketing, LLC,” and elsewhere in this Annual Report on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Form 10-K, on September 1, 2016, we entered into a group of agreements with Jamex which, among other things, Jamex agreed to execute and deliver a secured promissory note (“Jamex Secured Promissory Note”) in favor of Bridger in satisfaction of all obligations owed to Bridger under the Jamex TLA.</w:t>
      </w:r>
    </w:p>
    <w:p>
      <w:pPr>
        <w:spacing w:after="0" w:line="184" w:lineRule="exact"/>
        <w:rPr>
          <w:sz w:val="20"/>
          <w:szCs w:val="20"/>
          <w:color w:val="auto"/>
        </w:rPr>
      </w:pPr>
    </w:p>
    <w:p>
      <w:pPr>
        <w:ind w:left="60" w:right="119" w:firstLine="648"/>
        <w:spacing w:after="0" w:line="283" w:lineRule="auto"/>
        <w:rPr>
          <w:sz w:val="20"/>
          <w:szCs w:val="20"/>
          <w:color w:val="auto"/>
        </w:rPr>
      </w:pPr>
      <w:r>
        <w:rPr>
          <w:rFonts w:ascii="Arial" w:cs="Arial" w:eastAsia="Arial" w:hAnsi="Arial"/>
          <w:sz w:val="16"/>
          <w:szCs w:val="16"/>
          <w:color w:val="auto"/>
        </w:rPr>
        <w:t>On June 25, 2018, the FGP Parties and Mr. Ballengee entered into an Omnibus Agreement (the “Omnibus Agreement”) that, among other things, terminated and cancelled the Jamex Secured Promissory Note, the Affiliate Guaranty, the Security Agreement, the Jamex Entities Note Guaranty, the Working Capital Note and the Jamex Entities WCF Guaranty. In connection with the termination and cancellation of such agreements, (1) Mr. Ballengee and Jamex paid Bridger $16.3 million towards the remaining balance due under the Jamex Secured Promissory Note and Mr. Ballengee executed a new unsecured promissory note in favor of the operating partnership with an original principal amount of $18.3 million (the “Revised Jamex Promissory Note”), (2) Bacchus, a company controlled by Mr. Ballengee, executed a guaranty agreement to guarantee Mr. Ballengee’s obligations under the Revised Jamex Promissory Note, (3) the Partnership agreed to dismiss without prejudice certain indemnification claims against Jamex and any affiliates of Jamex related to the Eddystone litigation and to toll the statute of limitations with respect thereto, and to dismiss with prejudice the tortious interference claim asserted by the Partnership against Mr. Ballengee related to the Eddystone litigation, and</w:t>
      </w:r>
    </w:p>
    <w:p>
      <w:pPr>
        <w:spacing w:after="0" w:line="4" w:lineRule="exact"/>
        <w:rPr>
          <w:sz w:val="20"/>
          <w:szCs w:val="20"/>
          <w:color w:val="auto"/>
        </w:rPr>
      </w:pPr>
    </w:p>
    <w:p>
      <w:pPr>
        <w:ind w:left="60" w:right="239" w:hanging="10"/>
        <w:spacing w:after="0" w:line="302" w:lineRule="auto"/>
        <w:tabs>
          <w:tab w:leader="none" w:pos="3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Ballengee agreed to dismiss with prejudice, or cause to be dismissed, all counterclaims by him or his affiliates, as the case may be, with respect to such actions. If we are unable to collect the amounts owed under the Revised Jamex Promissory Note, it could have a material and adverse impact on our cash flows, liquidity and results of operations.</w:t>
      </w:r>
    </w:p>
    <w:p>
      <w:pPr>
        <w:spacing w:after="0" w:line="155" w:lineRule="exact"/>
        <w:rPr>
          <w:sz w:val="20"/>
          <w:szCs w:val="20"/>
          <w:color w:val="auto"/>
        </w:rPr>
      </w:pPr>
    </w:p>
    <w:p>
      <w:pPr>
        <w:jc w:val="both"/>
        <w:ind w:left="60" w:right="499" w:firstLine="648"/>
        <w:spacing w:after="0" w:line="311" w:lineRule="auto"/>
        <w:rPr>
          <w:sz w:val="20"/>
          <w:szCs w:val="20"/>
          <w:color w:val="auto"/>
        </w:rPr>
      </w:pPr>
      <w:r>
        <w:rPr>
          <w:rFonts w:ascii="Arial" w:cs="Arial" w:eastAsia="Arial" w:hAnsi="Arial"/>
          <w:sz w:val="16"/>
          <w:szCs w:val="16"/>
          <w:color w:val="auto"/>
        </w:rPr>
        <w:t>On July 1, 2020, Mr. Ballengee defaulted on the Revised Jamex Promissory Note by failing to make the first payment in the amount of $2.5 million. As a result, as of July 31, 2020, Ferrellgas recorded a bad debt reserve against $17.3 million of the Revised Jamex Promissory Note and is pursuing collections from Mr. Ballengee.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At July 31, 2020, we had no variable rate or collateralized note payable borrowings, as we terminated our Senior Secured Credit Facility on April 16, 2020 and had no outstanding collateralized notes payable on our accounts receivable securitization facility, as discussed previously. Our results of operations, cash flows and financial condition could be materially adversely affected by significant increases in interest rates in the future to the extent that we have collateralized notes payable or other variable rate indebtedness outstanding.</w:t>
      </w:r>
    </w:p>
    <w:p>
      <w:pPr>
        <w:spacing w:after="0" w:line="18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Our consolidated financial statements and the Independent Registered Public Accounting Firm’s Reports thereon and the Supplementary Financial Information listed on the accompanying Index to Financial Statements and Financial Statement Schedules are hereby incorporated by reference. See Note R – Quarterly data (unaudited) – to Ferrellgas Partners, L.P. and Subsidiaries consolidated financial statements and Note Q – Quarterly data (unaudited) – to Ferrellgas, L.P. and Subsidiaries consolidated financial statements for Selected Quarterly Financial Data.</w:t>
      </w:r>
    </w:p>
    <w:p>
      <w:pPr>
        <w:spacing w:after="0" w:line="157" w:lineRule="exact"/>
        <w:rPr>
          <w:sz w:val="20"/>
          <w:szCs w:val="20"/>
          <w:color w:val="auto"/>
        </w:rPr>
      </w:pPr>
    </w:p>
    <w:p>
      <w:pPr>
        <w:ind w:left="1020" w:right="1219" w:hanging="97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02"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An evaluation was performed by the management of Ferrellgas Partners, Ferrellgas Partners Finance Corp., Ferrellgas, L.P., and Ferrellgas Finance Corp., with the participation of the principal executive officer and principal financial officer of our general partner, of the effectiveness of our disclosure controls and procedures. Based on that evaluation, our management, including our principal executive officer and principal financial officer, concluded that our disclosure controls and procedures, as defined in Rules 13a-15(e) or 15d-15(e) under the Exchange Act, were effective as of July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management of Ferrellgas Partners, Ferrellgas Partners Finance Corp., Ferrellgas, L.P., and Ferrellgas Finance Corp. does not expect that our disclosure controls and procedures will prevent all errors and all fraud. The design of a control system must reflect the fact that there are resource constraints, and the benefits of controls must be considered relative to their costs. Based on the inherent limitations in all control systems, no evaluation of controls can provide absolute assurance that all control issues and instances of fraud, if any, within the above mentioned Partnerships and Corporations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principal executive officer and principal financial officer of our general partner have concluded, as of July 31, 2020, that our disclosure controls and procedures are effective in achieving that level of reasonable assurance.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 xml:space="preserve">The management of Ferrellgas Partners, Ferrellgas Partners Finance Corp., Ferrellgas, L.P. and Ferrellgas Finance Corp. is responsible for establishing and maintaining adequate internal control over financial reporting, as such term is defined in Rules 13a-15(f) or 15d-15(f) of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2013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Based on our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the framework in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July 31, 2020.</w:t>
      </w:r>
    </w:p>
    <w:p>
      <w:pPr>
        <w:spacing w:after="0" w:line="138"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During the most recent fiscal quarter ended July 31, 2020, there have been no changes in our internal control over financial reporting (as defined in Rule 13a–15(f) or Rule 15d–15(f) of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229"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The following table sets forth certain information with respect to the directors and executive officers of our general partner as of October 15, 2020. Officers are appointed to their respective office or offices either annually or as needed. Directors are appointed to their respective office or offices annually.</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Name</w:t>
            </w: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880" w:type="dxa"/>
            <w:vAlign w:val="bottom"/>
            <w:gridSpan w:val="3"/>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Officer</w:t>
            </w:r>
          </w:p>
        </w:tc>
        <w:tc>
          <w:tcPr>
            <w:tcW w:w="180" w:type="dxa"/>
            <w:vAlign w:val="bottom"/>
          </w:tcPr>
          <w:p>
            <w:pPr>
              <w:spacing w:after="0"/>
              <w:rPr>
                <w:sz w:val="12"/>
                <w:szCs w:val="12"/>
                <w:color w:val="auto"/>
              </w:rPr>
            </w:pPr>
          </w:p>
        </w:tc>
        <w:tc>
          <w:tcPr>
            <w:tcW w:w="42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Since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Since</w:t>
            </w:r>
          </w:p>
        </w:tc>
        <w:tc>
          <w:tcPr>
            <w:tcW w:w="180" w:type="dxa"/>
            <w:vAlign w:val="bottom"/>
          </w:tcPr>
          <w:p>
            <w:pPr>
              <w:spacing w:after="0"/>
              <w:rPr>
                <w:sz w:val="14"/>
                <w:szCs w:val="14"/>
                <w:color w:val="auto"/>
              </w:rPr>
            </w:pPr>
          </w:p>
        </w:tc>
        <w:tc>
          <w:tcPr>
            <w:tcW w:w="4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James E. Ferrell</w:t>
            </w: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80</w:t>
            </w:r>
          </w:p>
        </w:tc>
        <w:tc>
          <w:tcPr>
            <w:tcW w:w="1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1984</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2016</w:t>
            </w:r>
          </w:p>
        </w:tc>
        <w:tc>
          <w:tcPr>
            <w:tcW w:w="180" w:type="dxa"/>
            <w:vAlign w:val="bottom"/>
            <w:tcBorders>
              <w:top w:val="single" w:sz="8" w:color="CCEEFF"/>
            </w:tcBorders>
            <w:shd w:val="clear" w:color="auto" w:fill="CCEEFF"/>
          </w:tcPr>
          <w:p>
            <w:pPr>
              <w:spacing w:after="0"/>
              <w:rPr>
                <w:sz w:val="16"/>
                <w:szCs w:val="16"/>
                <w:color w:val="auto"/>
              </w:rPr>
            </w:pPr>
          </w:p>
        </w:tc>
        <w:tc>
          <w:tcPr>
            <w:tcW w:w="4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Interim Chief Executive Officer and President;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William E. Ruisinger</w:t>
            </w: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46</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2018</w:t>
            </w:r>
          </w:p>
        </w:tc>
        <w:tc>
          <w:tcPr>
            <w:tcW w:w="43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Chief Financial Officer; Treasurer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Tamria A. Zertuche</w:t>
            </w: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49</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2019</w:t>
            </w:r>
          </w:p>
        </w:tc>
        <w:tc>
          <w:tcPr>
            <w:tcW w:w="43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Senior Vice President and 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(effective August 24, 2020, Ms. Zertuche was promoted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Pamela A. Breuckmann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2013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 Clifford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2015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Andrew Levison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7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1994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Lowden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7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2003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 Morrissey</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7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1999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i w:val="1"/>
          <w:iCs w:val="1"/>
          <w:color w:val="auto"/>
        </w:rPr>
        <w:t xml:space="preserve">James E. Ferrell </w:t>
      </w:r>
      <w:r>
        <w:rPr>
          <w:rFonts w:ascii="Arial" w:cs="Arial" w:eastAsia="Arial" w:hAnsi="Arial"/>
          <w:sz w:val="17"/>
          <w:szCs w:val="17"/>
          <w:color w:val="auto"/>
        </w:rPr>
        <w:t>– On September 27, 2016, Mr. Ferrell was appointed Interim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by the Board of Directors of Ferrellgas, Inc. Mr. Ferrell has been with Ferrell Companies or its predecessors and its affiliates in various executive capacities since 1965, including Chairman of the Board of Directors of Ferrellgas, Inc. Under his leadership, Ferrellgas has grown from a small, independently owned propane company to one of the nation’s largest propane retailers. Mr. Ferrell is a past President of the World LP Gas Association and a former Chairman of the Propane Vehicle Council. Mr. Ferrell brings to the Company significant experience in propane and midstream operations and valuable knowledge of the company’s operating history.</w:t>
      </w:r>
    </w:p>
    <w:p>
      <w:pPr>
        <w:spacing w:after="0" w:line="17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i w:val="1"/>
          <w:iCs w:val="1"/>
          <w:color w:val="auto"/>
        </w:rPr>
        <w:t xml:space="preserve">William E. Ruisinger </w:t>
      </w:r>
      <w:r>
        <w:rPr>
          <w:rFonts w:ascii="Arial" w:cs="Arial" w:eastAsia="Arial" w:hAnsi="Arial"/>
          <w:sz w:val="18"/>
          <w:szCs w:val="18"/>
          <w:color w:val="auto"/>
        </w:rPr>
        <w:t>– Mr. Ruisinger joined our general partner in 2012 as Director of Accounting. He was</w:t>
      </w:r>
      <w:r>
        <w:rPr>
          <w:rFonts w:ascii="Arial" w:cs="Arial" w:eastAsia="Arial" w:hAnsi="Arial"/>
          <w:sz w:val="18"/>
          <w:szCs w:val="18"/>
          <w:i w:val="1"/>
          <w:iCs w:val="1"/>
          <w:color w:val="auto"/>
        </w:rPr>
        <w:t xml:space="preserve"> </w:t>
      </w:r>
      <w:r>
        <w:rPr>
          <w:rFonts w:ascii="Arial" w:cs="Arial" w:eastAsia="Arial" w:hAnsi="Arial"/>
          <w:sz w:val="18"/>
          <w:szCs w:val="18"/>
          <w:color w:val="auto"/>
        </w:rPr>
        <w:t>promoted to Corporate Controller in 2015, Vice President of Treasury and Investor Relations in 2017 and Chief Financial Officer in 2018. Prior to joining the Company, Mr. Ruisinger served various roles within the Assurance practice of Deloitte, LLP from 1997 to 2012. Mr. Ruisinger graduated from the University of Kansas with Bachelor of Science degree in Accounting. He also holds a Master of Accounting and Information Systems degree from the University of Kansas and has been a Certified Public Accountant since 2003.</w:t>
      </w:r>
    </w:p>
    <w:p>
      <w:pPr>
        <w:spacing w:after="0" w:line="192"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i w:val="1"/>
          <w:iCs w:val="1"/>
          <w:color w:val="auto"/>
        </w:rPr>
        <w:t xml:space="preserve">Tamria A. Zertuche </w:t>
      </w:r>
      <w:r>
        <w:rPr>
          <w:rFonts w:ascii="Arial" w:cs="Arial" w:eastAsia="Arial" w:hAnsi="Arial"/>
          <w:sz w:val="16"/>
          <w:szCs w:val="16"/>
          <w:color w:val="auto"/>
        </w:rPr>
        <w:t>– Ms. Zertuche joined Ferrellgas in 2004 when the company acquired Blue Rhino, where she</w:t>
      </w:r>
      <w:r>
        <w:rPr>
          <w:rFonts w:ascii="Arial" w:cs="Arial" w:eastAsia="Arial" w:hAnsi="Arial"/>
          <w:sz w:val="16"/>
          <w:szCs w:val="16"/>
          <w:i w:val="1"/>
          <w:iCs w:val="1"/>
          <w:color w:val="auto"/>
        </w:rPr>
        <w:t xml:space="preserve"> </w:t>
      </w:r>
      <w:r>
        <w:rPr>
          <w:rFonts w:ascii="Arial" w:cs="Arial" w:eastAsia="Arial" w:hAnsi="Arial"/>
          <w:sz w:val="16"/>
          <w:szCs w:val="16"/>
          <w:color w:val="auto"/>
        </w:rPr>
        <w:t>was employed as Senior Director of IT. In 2010, she was promoted to the leadership team for the Blue Rhino brand.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Ms. Zertuche was promoted again to VP of Information Technology in 2016 and to SVP of Business Operations and Chief Information Officer in 2019. In August 2020, Ms. Zertuche was promoted to Chief Operating Officer. Prior to joining the Company, Ms. Zertuche served in various roles in the financial services and retail industries. Ms. Zertuche graduated from UW-Whitewater with a Bachelor of Business Administration in Management Computer Systems. She also holds a Master of Business Administration from Colorado State University, and she is currently completing a Doctoral program in Organizational Learning, Performance, and Change at the same institution.</w:t>
      </w:r>
    </w:p>
    <w:p>
      <w:pPr>
        <w:spacing w:after="0" w:line="17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i w:val="1"/>
          <w:iCs w:val="1"/>
          <w:color w:val="auto"/>
        </w:rPr>
        <w:t xml:space="preserve">Pamela A. Breuckmann </w:t>
      </w:r>
      <w:r>
        <w:rPr>
          <w:rFonts w:ascii="Arial" w:cs="Arial" w:eastAsia="Arial" w:hAnsi="Arial"/>
          <w:sz w:val="17"/>
          <w:szCs w:val="17"/>
          <w:color w:val="auto"/>
        </w:rPr>
        <w:t>– Ms. Breuckmann was elected to the Board of Directors in 2013. In addition, during</w:t>
      </w:r>
      <w:r>
        <w:rPr>
          <w:rFonts w:ascii="Arial" w:cs="Arial" w:eastAsia="Arial" w:hAnsi="Arial"/>
          <w:sz w:val="17"/>
          <w:szCs w:val="17"/>
          <w:i w:val="1"/>
          <w:iCs w:val="1"/>
          <w:color w:val="auto"/>
        </w:rPr>
        <w:t xml:space="preserve"> </w:t>
      </w:r>
      <w:r>
        <w:rPr>
          <w:rFonts w:ascii="Arial" w:cs="Arial" w:eastAsia="Arial" w:hAnsi="Arial"/>
          <w:sz w:val="17"/>
          <w:szCs w:val="17"/>
          <w:color w:val="auto"/>
        </w:rPr>
        <w:t>2018, Ms. Breuckmann was appointed a co-plan administrator of the Ferrell Companies, Inc. Employee Stock Ownership Plan, by the Board of Directors of Ferrell Companies, Inc. Since 2011, Ms. Breuckmann has served as the President and since January 2015, Chief Executive Officer of Ferrell Capital, Inc., a company established in 1998 to manage the financial, business and personal affairs of the Ferrell family. Prior to becoming President of Ferrell Capital, she served as the Chief Financial Officer of the organization from 2007 to 2011. From 2009 to 2019, Ms. Breuckmann was the President and Chief Operating Officer of Samson Capital Management, LLC, an SEC registered investment advisory business that specialized in managing Master Limited Partnership securities for investors. During 2018, Ms. Breuckmann became the President of Mosaic, LLC, the private family trust company for the Ferrell family, registered under the Banking regulations in the State of Tennessee. The blend of Ms. Breuckmann’s investment experience, accounting background and finance roles give her a unique perspective that serves the Board of Directors well. She began her career in 1998 as an auditor at Deloitte &amp; Touche, LLP. We consider Ms. Breuckmann to be a financial expert. Ms. Breuckmann graduated from the University of Kansas with Bachelor of Science degrees in Business Administration and Accounting. She also holds a Master of Accounting and Information Systems degree from the University of Kansas and has been a Certified Public Accountant since 2000.</w:t>
      </w:r>
    </w:p>
    <w:p>
      <w:pPr>
        <w:spacing w:after="0" w:line="182"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i w:val="1"/>
          <w:iCs w:val="1"/>
          <w:color w:val="auto"/>
        </w:rPr>
        <w:t xml:space="preserve">Stephen M. Clifford </w:t>
      </w:r>
      <w:r>
        <w:rPr>
          <w:rFonts w:ascii="Arial" w:cs="Arial" w:eastAsia="Arial" w:hAnsi="Arial"/>
          <w:sz w:val="17"/>
          <w:szCs w:val="17"/>
          <w:color w:val="auto"/>
        </w:rPr>
        <w:t>– Mr. Clifford joined the Board of Directors in 2015 and is the chairman of the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and Nominating Committee and is a member of the Audit Committee. Mr. Clifford has served as Chief Operating Officer of PBI Gordon Corporation since July 2018. Mr. Clifford retired from Ernst &amp; Young in July 2015 after having served as the Managing Partner of Ernst &amp; Young’s Kansas City, Missouri office from 1999 until his retirement. His career at Ernst &amp; Young spanned a total of 32 years. During his tenure as the Managing Partner of the Kansas City office, Mr. Clifford was also a member of the executive committee for Ernst &amp; Young’s Midwest Area, which was responsible for nearly 4,000 professionals across the Midwest. In addition to his role as the Managing Partner, Mr. Clifford served as the coordinating partner responsible for external audit engagements, including audits of internal controls over financial reporting pursuant to Section 404 of the Sarbanes-Oxley Act, as well as internal audit and advisory engagements for numerous companies in the Fortune 1000, as well as numerous large and high growth private companies during his career. Mr. Clifford is the past Chairman of the Board for the Leukemia and Lymphoma Society, a member of the Board of Directors and Chair of the audit committee for the Archdiocese of Northeast Kansas, and the past Chair of the Board of Directors for Cristo Rey High School of Kansas City. Mr. Clifford brings to the Board many years of experience as a leader and assurance partner of a major accounting firm and extensive experience in developing and executing growth strategies, acquisitions, and capital transactions. We consider Mr. Clifford to be an audit committee financial expert. Mr. Clifford obtained his Bachelor of Science and Business Administration, Finance &amp; Accounting degree from Texas Christian University.</w:t>
      </w:r>
    </w:p>
    <w:p>
      <w:pPr>
        <w:spacing w:after="0" w:line="19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i w:val="1"/>
          <w:iCs w:val="1"/>
          <w:color w:val="auto"/>
        </w:rPr>
        <w:t xml:space="preserve">A. Andrew Levison </w:t>
      </w:r>
      <w:r>
        <w:rPr>
          <w:rFonts w:ascii="Arial" w:cs="Arial" w:eastAsia="Arial" w:hAnsi="Arial"/>
          <w:sz w:val="18"/>
          <w:szCs w:val="18"/>
          <w:color w:val="auto"/>
        </w:rPr>
        <w:t>– Mr. Levison has served on the Board of Directors since 1994 and is a member of the Board’s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the Board’s Corporate Governance and Nominating Committee. For the past five years Mr. Levison has served as the Managing Partner of Southfield Capital Advisors, LLC, a Greenwich, Connecticut-based, private merchant banking firm and serves on the Boards of Directors of Presidio Partners, LLC, and the Levison/Present Foundation at Mount Sinai Hospital in New York City. Mr. Levison obtained his Bachelor of Science degree in Finance from Babson College.</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Mr. Levison founded Levison &amp; Co., the predecessor of Southfield Capital Advisors, LLC, in 2002. Prior to that, Mr. Levison was the Head of Leveraged Finance at Donaldson, Lufkin &amp; Jenrette (“DLJ”), where he oversaw banking and origination activities for all of DLJ’s investment banking products for leveraged companies. In particular, Mr. Levison focused on high yield securities, leveraged bank loans, bridge loans and mezzanine/equity investments. Under</w:t>
      </w:r>
    </w:p>
    <w:p>
      <w:pPr>
        <w:spacing w:after="0" w:line="1" w:lineRule="exact"/>
        <w:rPr>
          <w:sz w:val="20"/>
          <w:szCs w:val="20"/>
          <w:color w:val="auto"/>
        </w:rPr>
      </w:pPr>
    </w:p>
    <w:p>
      <w:pPr>
        <w:ind w:left="60" w:right="459"/>
        <w:spacing w:after="0" w:line="290" w:lineRule="auto"/>
        <w:rPr>
          <w:sz w:val="20"/>
          <w:szCs w:val="20"/>
          <w:color w:val="auto"/>
        </w:rPr>
      </w:pPr>
      <w:r>
        <w:rPr>
          <w:rFonts w:ascii="Arial" w:cs="Arial" w:eastAsia="Arial" w:hAnsi="Arial"/>
          <w:sz w:val="17"/>
          <w:szCs w:val="17"/>
          <w:color w:val="auto"/>
        </w:rPr>
        <w:t>Mr. Levison’s leadership, DLJ became the number one ranked firm for high yield underwriting throughout the 1990’s. While at DLJ, Mr. Levison also served as Co-Chairman of the Credit Committee and as a member of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Management Committee of the Investment Banking Division and the Banking Review Committee. Prior to joining DLJ, Mr. Levison was a Managing Director of the Leveraged Buyout Group at Drexel Burnham Lambert and a Vice-President of the Special Finance Group at Manufacturers Hanover Trust.</w:t>
      </w:r>
    </w:p>
    <w:p>
      <w:pPr>
        <w:spacing w:after="0" w:line="184"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While serving on the Board of Directors of our general partner, Mr. Levison’s firm DLJ acted as an underwriter with regard to the initial public offering in 1994 which coincided with the formation of our master limited partnership. Mr. Levison brings to the Board significant experience in capital markets, corporate finance and investment banking. We consider Mr. Levison to be a financial expert.</w:t>
      </w:r>
    </w:p>
    <w:p>
      <w:pPr>
        <w:spacing w:after="0" w:line="187"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i w:val="1"/>
          <w:iCs w:val="1"/>
          <w:color w:val="auto"/>
        </w:rPr>
        <w:t xml:space="preserve">John R. Lowden </w:t>
      </w:r>
      <w:r>
        <w:rPr>
          <w:rFonts w:ascii="Arial" w:cs="Arial" w:eastAsia="Arial" w:hAnsi="Arial"/>
          <w:sz w:val="18"/>
          <w:szCs w:val="18"/>
          <w:color w:val="auto"/>
        </w:rPr>
        <w:t>– Mr. Lowden was appointed to the Board of Directors in 2003 and chairs the Board’s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is a member of the Board’s Corporate Governance and Nominating Committee. Since 2001, Mr. Lowden has served as the President of NewCastle Partners, LLC, a Greenwich, Connecticut-based private investment firm. Mr. Lowden also serves as Chairman and CEO of Metpar Industries, Inc., AK Industries, Inc. and JN Industries, LLC and serves as a director of Ingles Markets Inc. and serves on the Board of Trustees of Wake Forest University. Mr. Lowden obtained his Master’s degree in Business Administration and his Bachelor of Science degree in Business from Wake Forest University.</w:t>
      </w:r>
    </w:p>
    <w:p>
      <w:pPr>
        <w:spacing w:after="0" w:line="19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Mr. Lowden was a founding partner of NewCastle Partners, LLC in 2001. Prior to that, Mr. Lowden had served as a partner of The Jordan Company, a New York City-based private equity firm. During his 30 years in private equity,</w:t>
      </w:r>
    </w:p>
    <w:p>
      <w:pPr>
        <w:ind w:left="60" w:right="779"/>
        <w:spacing w:after="0" w:line="260" w:lineRule="auto"/>
        <w:rPr>
          <w:sz w:val="20"/>
          <w:szCs w:val="20"/>
          <w:color w:val="auto"/>
        </w:rPr>
      </w:pPr>
      <w:r>
        <w:rPr>
          <w:rFonts w:ascii="Arial" w:cs="Arial" w:eastAsia="Arial" w:hAnsi="Arial"/>
          <w:sz w:val="18"/>
          <w:szCs w:val="18"/>
          <w:color w:val="auto"/>
        </w:rPr>
        <w:t>Mr. Lowden has been a principal investor and participated in the acquisitions of over 40 manufacturing, retail and distribution businesses.</w:t>
      </w:r>
    </w:p>
    <w:p>
      <w:pPr>
        <w:spacing w:after="0" w:line="185"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Mr. Lowden brings to the Board significant experience in capital markets, corporate finance and investment banking. We consider Mr. Lowden to be a financial expert.</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i w:val="1"/>
          <w:iCs w:val="1"/>
          <w:color w:val="auto"/>
        </w:rPr>
        <w:t xml:space="preserve">Michael F. Morrissey </w:t>
      </w:r>
      <w:r>
        <w:rPr>
          <w:rFonts w:ascii="Arial" w:cs="Arial" w:eastAsia="Arial" w:hAnsi="Arial"/>
          <w:sz w:val="16"/>
          <w:szCs w:val="16"/>
          <w:color w:val="auto"/>
        </w:rPr>
        <w:t>– Mr. Morrissey has served on the Board of Directors since 1999 and chairs the Board’s</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and serves on the Board’s Corporate Governance and Nominating Committee. Mr. Morrissey has been selected as the presiding director for non-management executive sessions of the Board. Mr. Morrissey retired as the Managing Partner of Ernst &amp; Young’s Kansas City, Missouri office in 1999. Throughout his tenure, Mr. Morrissey has served as a board member on the boards of directors of various companies, and currently serves on the Board of Directors and its Compensation Committee and as Audit Committee Chairman of Waddell &amp; Reed Financial, Inc. (since 2010).</w:t>
      </w:r>
    </w:p>
    <w:p>
      <w:pPr>
        <w:spacing w:after="0" w:line="164"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Mr. Morrissey served as a partner of Ernst &amp; Young for seventeen years. Prior to that, Mr. Morrissey worked for twelve years for two major accounting firms, one of which was Ernst &amp; Young (for seven years). Mr. Morrissey has been a Certified Public Accountant since 1972. Mr. Morrissey brings to the Board substantial experience as the Chairman of the audit committees of public companies, many years of experience as an audit partner of a major accounting firm and extensive experience as a director of other large private and public companies. We consider Mr. Morrissey to be an audit committee financial expert. Mr. Morrissey has a high level of understanding of the Board’s role and responsibilities based on his service on other company boards. Mr. Morrissey obtained his Bachelor of Business Administration degree in Accounting from the University of Notre Dame and obtained his Master of Business Administration degree in Finance from Temple University.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The limited partnership agreements of Ferrellgas Partners and the operating partnership provide for each partnership to be governed by a general partner rather than a board of directors. Through these partnership agreements, Ferrellgas, Inc. acts as the general partner of both Ferrellgas Partners and the operating partnership and thereby manages and operates the activities of Ferrellgas Partners and the operating partnership. Ferrellgas, Inc. anticipates that its activities will be limited to the management and operation of the partnerships. Neither Ferrellgas Partners nor the operating partnership directly employs any of the persons responsible for the management or operations of the partnerships, rather, these individuals are employed by the general partner.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Board of Directors of our general partner has adopted a set of Corporate Governance Guidelines for the Board and charters for its Audit Committee, Corporate Governance and Nominating Committee and Compensation Committee. A current copy of these Corporate Governance Guidelines and charters, each of which were adopted and approved by the entire Board, are available, free of charge, to our security holders and other interested parties on our website at www.ferrellgas.com (under the caption “Corporate Governance” within “Investor Information”) and are also available in print to any unitholder or other interested parties who request it. Requests for print copies should be directed to:</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7500 College Boulevard, Suite 1000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913-661-1533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investors@ferrellgas.com.</w:t>
      </w:r>
    </w:p>
    <w:p>
      <w:pPr>
        <w:spacing w:after="0" w:line="211"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Please note that the information and materials found on our website, except for SEC filings expressly incorporated by reference into this report herein, are not part of this report and are not incorporated by reference into this report.</w:t>
      </w:r>
    </w:p>
    <w:p>
      <w:pPr>
        <w:spacing w:after="0" w:line="124"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The Board has affirmatively determined that Ms. Breuckmann, Mr. Clifford, Mr. Levison, Mr. Lowden and Mr. Morrissey, who constitute a majority of its Directors, are “independent” as described by the NYSE’s corporate governance rules. In conjunction with regular Board meetings, these non-management directors also meet in a regularly scheduled executive session without members of management present. A non-management director presides over each executive session of non-management directors. Mr. Morrissey has been selected as the presiding director for non-management executive sessions. If Mr. Morrissey is not present then the other non-management directors shall select the presiding director. Additional executive sessions may be scheduled by a majority of the non-management directors in consultation with the presiding director and the Chairman of the Board.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The Board has a designated Audit Committee comprised of Ms. Breuckmann, Mr. Clifford and Mr. Morrissey. Mr. Morrissey is the Chairman of the Audit Committee. Ms. Breuckmann, Mr. Clifford and Mr. Morrissey each has been determined by the Board to be an “audit committee financial expert.” The Audit Committee charter, as well as the rules of the NYSE and the SEC, requires that members of the Audit Committee satisfy “independence” requirements as set out by the NYSE and the SEC. The Board has determined that all of the members of the Audit Committee are “independent” as described under the relevant standards.</w:t>
      </w:r>
    </w:p>
    <w:p>
      <w:pPr>
        <w:spacing w:after="0" w:line="17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Audit Committee charter requires the Audit Committee to pre-approve all engagements with any independent registered public accounting firm, including all engagements regarding the audit of the financial statements of each of Ferrellgas Partners, Ferrellgas Partners Finance Corp., Ferrellgas, L.P., and Ferrellgas Finance Corp. and all permissible non-audit engagements with the independent registered public accounting firm. Additionally, the Audit Committee oversees the internal audit function for each of Ferrellgas Partners, Ferrellgas Partners Finance Corp., Ferrellgas, L.P., Ferrellgas Finance Corp., and such other duties as directed by the Board. The Audit Committee charter is available on the company’s website.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 on Directors Participating on Audit Committees</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Board has adopted a policy limiting the number of public company audit committees its directors may serve on to three at any point in time. If a director desires to serve on more than three public company audit committees, he or she must first obtain the written permission of the Board.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229"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The Board has a designated Corporate Governance and Nominating Committee, comprised of Mr. Clifford, Mr. Levison and Mr. Morrissey. Mr. Clifford is the Chairman of the Corporate Governance and Nominating Committee.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Corporate Governance and Nominating Committee charter requires that members of the Corporate Governance and Nominating Committee satisfy particular “independence” requirements. The Board has determined that all of the members of the Corporate Governance and Nominating Committee are “independent” as described under relevant standards. The Corporate Governance and Nominating Committee charter is available on the company’s website.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0" w:right="219" w:firstLine="648"/>
        <w:spacing w:after="0" w:line="288" w:lineRule="auto"/>
        <w:rPr>
          <w:sz w:val="20"/>
          <w:szCs w:val="20"/>
          <w:color w:val="auto"/>
        </w:rPr>
      </w:pPr>
      <w:r>
        <w:rPr>
          <w:rFonts w:ascii="Arial" w:cs="Arial" w:eastAsia="Arial" w:hAnsi="Arial"/>
          <w:sz w:val="16"/>
          <w:szCs w:val="16"/>
          <w:color w:val="auto"/>
        </w:rPr>
        <w:t>The Board has a designated Compensation Committee, comprised of Mr. Levison and Mr. Lowden. Mr. Lowden is the Chairman of the Compensation Committee. The Compensation Committee charter requires that members of the Compensation Committee satisfy particular “independence” requirements. The Board has determined that all of the members of the Compensation Committee are “independent” as described under relevant standards. The Compensation Committee has the authority to assist the Board of Directors in fulfilling its responsibility to effectively compensate the senior management of the general partner in a manner consistent with the growth strategy of the general partner. Toward that end, the Compensation Committee oversees the review process of all compensation, equity and benefit plans of Ferrellgas. In discharging this oversight role, the Compensation Committee has full power to consult with, retain and compensate independent legal, financial and/or other advisers as it deems necessary or appropriate. The Compensation Committee charter is available on the company’s website.</w:t>
      </w:r>
    </w:p>
    <w:p>
      <w:pPr>
        <w:spacing w:after="0" w:line="164" w:lineRule="exact"/>
        <w:rPr>
          <w:sz w:val="20"/>
          <w:szCs w:val="20"/>
          <w:color w:val="auto"/>
        </w:rPr>
      </w:pPr>
    </w:p>
    <w:p>
      <w:pPr>
        <w:ind w:left="60" w:right="119"/>
        <w:spacing w:after="0" w:line="282" w:lineRule="auto"/>
        <w:rPr>
          <w:sz w:val="20"/>
          <w:szCs w:val="20"/>
          <w:color w:val="auto"/>
        </w:rPr>
      </w:pPr>
      <w:r>
        <w:rPr>
          <w:rFonts w:ascii="Arial" w:cs="Arial" w:eastAsia="Arial" w:hAnsi="Arial"/>
          <w:sz w:val="18"/>
          <w:szCs w:val="18"/>
          <w:b w:val="1"/>
          <w:bCs w:val="1"/>
          <w:color w:val="auto"/>
        </w:rPr>
        <w:t>Disclosure about our Security Holders’ and Interested Parties’ Ability to Communicate with the Board of Directors of our General Partner</w:t>
      </w:r>
    </w:p>
    <w:p>
      <w:pPr>
        <w:spacing w:after="0" w:line="166" w:lineRule="exact"/>
        <w:rPr>
          <w:sz w:val="20"/>
          <w:szCs w:val="20"/>
          <w:color w:val="auto"/>
        </w:rPr>
      </w:pPr>
    </w:p>
    <w:p>
      <w:pPr>
        <w:jc w:val="both"/>
        <w:ind w:left="60" w:right="179" w:firstLine="648"/>
        <w:spacing w:after="0" w:line="311" w:lineRule="auto"/>
        <w:rPr>
          <w:sz w:val="20"/>
          <w:szCs w:val="20"/>
          <w:color w:val="auto"/>
        </w:rPr>
      </w:pPr>
      <w:r>
        <w:rPr>
          <w:rFonts w:ascii="Arial" w:cs="Arial" w:eastAsia="Arial" w:hAnsi="Arial"/>
          <w:sz w:val="16"/>
          <w:szCs w:val="16"/>
          <w:color w:val="auto"/>
        </w:rPr>
        <w:t>The Board of Directors of our general partner has a process by which security holders and interested parties can communicate with it. Security holders and interested parties can send communications to the Board, the presiding director or the independent directors as a group by contacting our Investor Relations department by mail, telephone or e-mail at: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7500 College Boulevard, Suite 1000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913-661-1533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investors@ferrellgas.com.</w:t>
      </w:r>
    </w:p>
    <w:p>
      <w:pPr>
        <w:spacing w:after="0" w:line="211"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Any communications directed to the Board of Directors from employees or others that concern complaints regarding accounting, internal controls or auditing matters will be handled in accordance with procedures adopted by the Audit Committee. All other communications directed to the Board of Directors are initially reviewed by the Investor Relations Department. The Chairman of the Corporate Governance and Nominating Committee is advised promptly of any such communication that alleges misconduct on the part of management or raises legal, ethical or compliance concerns about the policies or practices of the general partner. On a periodic basis, the Chairman of the Corporate Governance and Nominating Committee receives updates on other communications that raise issues related to the affairs of the Partnership but do not fall into the two prior categories. The Chairman of the Corporate Governance and Nominating Committee determines which of these communications require further review. The Corporate Secretary maintains a log of all such communications that is available for review for one year upon request of any member of the Board. Typically, the general partner does not forward to the Board of Directors communications from unitholders or other parties which are of a personal nature or are not related to the duties and responsibilities of the Board, including junk mail, customer complaints, job inquiries, surveys and polls, and business solicitations.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Code of Ethics for Principal Executive and Financial Officers and Code of Business Conduct and Ethics</w:t>
      </w:r>
    </w:p>
    <w:p>
      <w:pPr>
        <w:spacing w:after="0" w:line="241"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The Board has adopted a Code of Ethics for our general partner’s principal executive officer, principal financial officer, principal accounting officer or those persons performing similar functions. Additionally, the Board has adopted a general Code of Business Conduct and Ethics for all of our general partner’s directors, officers and employees. These codes, which were adopted and approved by the entire Board, are available to our security holders and other interested parties at no charge on our website at www.ferrellgas.com (under the caption “Corporate Governance” within “Investor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Information”) and are also available in print to any security holder or other interested parties who requests it. Requests for print copies should be directed to: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7500 College Boulevard, Suite 1000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913-661-1533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investors@ferrellgas.com.</w:t>
      </w:r>
    </w:p>
    <w:p>
      <w:pPr>
        <w:spacing w:after="0" w:line="211"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Please note that the information and materials found on our website, except for SEC filings expressly incorporated by reference into this report herein, are not part of this report and are not incorporated by reference into this report.</w:t>
      </w:r>
    </w:p>
    <w:p>
      <w:pPr>
        <w:spacing w:after="0" w:line="124"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intend to disclose, within four business days, any amendment to the Code of Business Conduct and Ethics and the Code of Ethics for Principal Executive and Financial Officer on our website. Any waivers from the Code of Ethics for Principal Executive and Financial Officer will also be disclosed on our website.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of our General Partner</w:t>
      </w:r>
    </w:p>
    <w:p>
      <w:pPr>
        <w:spacing w:after="0" w:line="229"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Our general partner receives no management fee or similar compensation in connection with its management of our business and receives no remuneration other than:</w:t>
      </w:r>
    </w:p>
    <w:p>
      <w:pPr>
        <w:spacing w:after="0" w:line="170" w:lineRule="exact"/>
        <w:rPr>
          <w:sz w:val="20"/>
          <w:szCs w:val="20"/>
          <w:color w:val="auto"/>
        </w:rPr>
      </w:pPr>
    </w:p>
    <w:p>
      <w:pPr>
        <w:ind w:left="380" w:right="739" w:hanging="330"/>
        <w:spacing w:after="0" w:line="277"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distributions on its combined approximate 2% general partner interest in Ferrellgas Partners and the operating partnership; and</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reimbursement for: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direct and indirect costs and expenses incurred on our behalf;</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selling, general and administrative expenses incurred by our general partner on our behalf;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other expenses necessary or appropriate to the conduct of our business and allocable to us.</w:t>
      </w:r>
    </w:p>
    <w:p>
      <w:pPr>
        <w:spacing w:after="0" w:line="225"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selling, general and administrative expenses reimbursed include specific employee benefits and incentive plans for the benefit of the executive officers and employees of our general partner.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Section 16(a) of the Exchange Act requires our general partner’s officers and directors, and persons who beneficially own more than 10% of our common units, to file reports of beneficial ownership and changes in beneficial ownership of our common units with the SEC. These forms filed by them include Forms 3, 4 and 5 and any amendments thereto.</w:t>
      </w:r>
    </w:p>
    <w:p>
      <w:pPr>
        <w:spacing w:after="0" w:line="187" w:lineRule="exact"/>
        <w:rPr>
          <w:sz w:val="20"/>
          <w:szCs w:val="20"/>
          <w:color w:val="auto"/>
        </w:rPr>
      </w:pPr>
    </w:p>
    <w:p>
      <w:pPr>
        <w:ind w:left="60" w:right="459" w:firstLine="648"/>
        <w:spacing w:after="0" w:line="275" w:lineRule="auto"/>
        <w:rPr>
          <w:sz w:val="20"/>
          <w:szCs w:val="20"/>
          <w:color w:val="auto"/>
        </w:rPr>
      </w:pPr>
      <w:r>
        <w:rPr>
          <w:rFonts w:ascii="Arial" w:cs="Arial" w:eastAsia="Arial" w:hAnsi="Arial"/>
          <w:sz w:val="17"/>
          <w:szCs w:val="17"/>
          <w:color w:val="auto"/>
        </w:rPr>
        <w:t>To our knowledge, based solely on its review of the copies of such Section 16(a) forms and, to the extent applicable, written representations from certain reporting persons that no Annual Statement of Changes in Beneficial Ownership of Securities on Form 5 were required to be filed by those persons, our general partner believes that during fiscal 2020 all Section 16(a) filing requirements applicable to the officers and directors of our general partner and beneficial owners of more than 10% of our common units were met in a timely manner.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Compensation Policies and Practices</w:t>
      </w:r>
    </w:p>
    <w:p>
      <w:pPr>
        <w:spacing w:after="0" w:line="229"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Management conducted a risk assessment of our compensation policies and practices for fiscal 2020. Based on its evaluation, management does not believe that any such policies or practices create risks that are reasonably likely to have a material adverse effect on Ferrellgas Partners.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Executive Officer Compensation</w:t>
      </w:r>
    </w:p>
    <w:p>
      <w:pPr>
        <w:spacing w:after="0" w:line="225"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Throughout this section, each person who served as the Principal Executive Officer (“PEO”) during fiscal 2020, each person who served as the Principal Financial Officer (“PFO”) during fiscal 2020, the three most highly compensated executive officers other than the PEO and PFO serving at July 31, 2020 and up to two additional individuals for whom disclosure would have been provided but for the fact that the individual was not serving as an executive officer at July 31, 2020 are referred to as the Named Executive Officers (“NEOs”). We do not directly employ our NEOs. Rather, we are managed by our general partner who serves as the employer of our NEOs. We reimburse our general partner for all NEO compensation.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Named Executive Officers</w:t>
      </w:r>
    </w:p>
    <w:p>
      <w:pPr>
        <w:spacing w:after="0" w:line="243" w:lineRule="exact"/>
        <w:rPr>
          <w:sz w:val="20"/>
          <w:szCs w:val="20"/>
          <w:color w:val="auto"/>
        </w:rPr>
      </w:pPr>
    </w:p>
    <w:p>
      <w:pPr>
        <w:ind w:left="80" w:right="1719"/>
        <w:spacing w:after="0" w:line="266" w:lineRule="auto"/>
        <w:rPr>
          <w:sz w:val="20"/>
          <w:szCs w:val="20"/>
          <w:color w:val="auto"/>
        </w:rPr>
      </w:pPr>
      <w:r>
        <w:rPr>
          <w:rFonts w:ascii="Arial" w:cs="Arial" w:eastAsia="Arial" w:hAnsi="Arial"/>
          <w:sz w:val="18"/>
          <w:szCs w:val="18"/>
          <w:color w:val="auto"/>
        </w:rPr>
        <w:t>James E. Ferrell, Interim Chief Executive Officer and President; Chairman of the Board of Directors William E. Ruisinger, 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-281305</wp:posOffset>
            </wp:positionV>
            <wp:extent cx="564896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200" w:right="119" w:hanging="128"/>
        <w:spacing w:after="0" w:line="258" w:lineRule="auto"/>
        <w:rPr>
          <w:sz w:val="20"/>
          <w:szCs w:val="20"/>
          <w:color w:val="auto"/>
        </w:rPr>
      </w:pPr>
      <w:r>
        <w:rPr>
          <w:rFonts w:ascii="Arial" w:cs="Arial" w:eastAsia="Arial" w:hAnsi="Arial"/>
          <w:sz w:val="18"/>
          <w:szCs w:val="18"/>
          <w:color w:val="auto"/>
        </w:rPr>
        <w:t>Tamria A. Zertuche, Senior Vice President, Head of Blue Rhino and Chief Information Officer (effective August 24, 2020, Ms. Zertuche was promoted to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-273685</wp:posOffset>
            </wp:positionV>
            <wp:extent cx="5648960" cy="282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8960" cy="2825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Bryan J. Wright, Senior Vice President and Chief Operating Officer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1414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On May 11, 2020, Mr. Wright resigned as Senior Vice President and Chief Operating Officer.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believe an effective executive compensation package should link total compensation to overall financial performance and to the achievement of both short and long term strategic, operational and financial goals. The elements of our compensation program are intended to provide a total reward package to our NEOs that (i) provides competitive compensation opportunities, (ii) recognizes and rewards individual contribution, (iii) attracts, motivates and retains highly-talented executives, and (iv) aligns executive performance toward the creation of sustained unitholder value rather than the achievement of short-term goals that might be inconsistent with the creation of long-term unitholder value.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Our Chief Executive Officer formulates preliminary compensation recommendations for all NEOs, including himself. These recommendations are subject to review and approval by the Compensation Committee. Our Chief Executive Officer and the Compensation Committee utilized market compensation survey data provided in fiscal 2020, which is used to create salary range benchmarks for each NEO’s compensation.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7"/>
          <w:szCs w:val="17"/>
          <w:color w:val="auto"/>
        </w:rPr>
        <w:t>Our compensation philosophy includes benchmarking executive positions using national market data from companies of similar revenue size to us. Data used to compare executive compensation is derived from the survey data obtained from Mercer, LLC. (“Mercer”), a human resourcing consulting firm, using its United States Mercer benchmark database (the “Mercer database”). The Mercer database contains data from approximately 3,086 organizations and over 4,300 positions. Data obtained was used to compare NEOs’ current base salaries and total direct compensation and set salary ranges. Mercer did not provide any formal consulting services.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Named Executive Officer Compensation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fiscal 2020, elements of compensation for our NEOs consisted of the following:</w:t>
      </w:r>
    </w:p>
    <w:p>
      <w:pPr>
        <w:spacing w:after="0" w:line="225" w:lineRule="exact"/>
        <w:rPr>
          <w:sz w:val="20"/>
          <w:szCs w:val="20"/>
          <w:color w:val="auto"/>
        </w:rPr>
      </w:pPr>
    </w:p>
    <w:p>
      <w:pPr>
        <w:ind w:left="1020" w:hanging="322"/>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discretionary bonus;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equity-based incentive compensation plan;</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 stock ownership plan;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deferred compensation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Our Chief Executive Officer formulates preliminary base salary recommendations for all NEOs, including himself. These recommendations are subject to review and approval by the Compensation Committee. To assist our Chief Executive Officer and the Compensation Committee compensation survey data is utilized to provide market data that is used to create benchmarks for each NEO’s base salary. These benchmarks refer to the high and low end of the ranges, rather than a specific point within the range. The following table identifies the low and high ends of the base salary range included in the market data:</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 Point</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High Point</w:t>
            </w: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$ 557,700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$ 849,900</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376,600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567,400</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518,500</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Information Officer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253,600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374,800</w:t>
            </w:r>
          </w:p>
        </w:tc>
      </w:tr>
    </w:tbl>
    <w:p>
      <w:pPr>
        <w:spacing w:after="0" w:line="187"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Additionally, other factors such as performance and other executive responsibilities are taken into consideration when determining the base salaries of our NEOs.</w:t>
      </w:r>
    </w:p>
    <w:p>
      <w:pPr>
        <w:spacing w:after="0" w:line="170"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amount of salary paid to each NEO during fiscal 2020 is displayed in the “Salary” column of the Summary Compensation Table.</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2020 Annual</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Base Salary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E. Ferrell (1)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William E. Ruisinger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Tamria A. Zertuche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Bryan J. Wright (2)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jc w:val="both"/>
        <w:ind w:left="380" w:right="579" w:hanging="330"/>
        <w:spacing w:after="0" w:line="263"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Ferrell elected not to receive a salary due to his status as interim Chief Executive Officer and his position as Chairman of the Board of Directors. Mr. Ferrell receives compensation in respect to his service on the Board of Directors, as described below.</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May 11, 2020, Mr. Wright resigned as Senior Vice President and Chief Operating Officer.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Discretionary Bonus</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Our Chief Executive Officer has the authority to recommend for Compensation Committee review and approval, discretionary cash bonuses to any NEO, including himself. These awards are designed to reward performance by a NEO that our Chief Executive Officer believes exceeded expectations in operational or strategic objectives during the last fiscal year. There were no discretionary bonuses paid to any NEO in respect of fiscal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Equity-based Incentive Compensation Plan</w:t>
      </w:r>
    </w:p>
    <w:p>
      <w:pPr>
        <w:spacing w:after="0" w:line="225"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color w:val="auto"/>
        </w:rPr>
        <w:t>We have an equity-based incentive compensation plan, the Ferrell Companies Incentive Compensation Plan (the “ICP”), in which our NEOs are permitted to participate. The amount of compensation cost related to the ICP incurred for each NEO is displayed in the “Option Awards” column of the Summary Compensation Table.</w:t>
      </w:r>
    </w:p>
    <w:p>
      <w:pPr>
        <w:spacing w:after="0" w:line="16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ICP was established by Ferrell Companies to allow upper-middle and senior level managers, including NEOs, and directors of our general partner to participate in the equity growth of Ferrell Companies. Pursuant to this ICP, eligible participants may be granted stock options to purchase shares of common stock of Ferrell Companies, stock appreciation rights (“SARs”), performance shares or other equity-linked incentives payable in cash or in stock. Neither Ferrellgas Partners nor the operating partnership contributes, directly or indirectly, to the ICP. Options granted under the ICP vest ratably over periods ranging from zero to 12 years or 100% upon a change of control of Ferrell Companies, or upon the death, disability or retirement at the age of 65 of the participant. Awards generally expire ten years from the date of issuance.</w:t>
      </w:r>
    </w:p>
    <w:p>
      <w:pPr>
        <w:spacing w:after="0" w:line="19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Options or SARs are granted under the ICP periodically throughout the year at strike prices equal to the most recently published semi-annual valuation by an independent third-party valuation firm that is performed on Ferrell Companies, which is a privately held company, for the purposes of the ESOP (as defined below). All other terms of these awards granted to the NEOs, including the quantity awarded, vesting life and expiration date of awards are discretionary and must be approved by the ICP Option Committee, which includes our Chief Executive Officer. Awards granted to NEOs must also be approved by the Compensation Committee. No stock option awards, SARs, performance shares or other incentives payable in cash or in stock were granted under the ICP to NEOs in fiscal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On July 17, 1998, pursuant to the Ferrell Companies, Inc. Employee Stock Ownership Plan (the “ESOP”), an employee stock ownership trust purchased all of the outstanding common stock of Ferrell Companies. The purpose of the ESOP is to provide all employees of our general partner, including NEOs, an opportunity for ownership in Ferrell Companies, and indirectly, in us. Ferrell Companies makes contributions to the ESOP, which allows a portion of the shares of Ferrell Companies owned by the ESOP to be allocated to employees’ accounts over time. The value of the shares allocated to each NEO for compensation related to fiscal 2020 is included in the “All Other Compensation” column of the Summary Compensation Table.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Twice per year and in accordance with the ESOP, each NEO’s ESOP account receives an allocation of Ferrell Companies shares. This allocation, as determined by the ESOP, is based on the following: a) the relative percentage of the NEO’s base salary, discretionary bonus, and corporate incentive plan payment made during the period to all eligible employee compensation (if applicable), subject to certain limitations under Section 415 of the Internal Revenue Code, and b) shares owned from previous allocations. NEOs vest in their account balances as follows: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Number of Completed Years of Service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6"/>
              </w:rPr>
              <w:t>Vested Percent</w:t>
            </w:r>
          </w:p>
        </w:tc>
        <w:tc>
          <w:tcPr>
            <w:tcW w:w="16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3 years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years</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5 years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years</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7 years or more</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187"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NEOs are entitled to receive a distribution for the vested portion of their accounts at specified times in accordance with the ESOP for normal or late retirement, disability, death, resignation, or dismissal.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Compensation Plans and Retirement Savings Plans</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Two deferred compensation plans are available for participation by our NEOs, the “401(k) Investment Plan,” a tax-qualified retirement plan, and the “Supplemental Savings Plan,” a non-qualified deferred compensation plan. The amount of company match related to these plans credited to each NEO’s account during fiscal 2020 is included in the “All Other Compensation” column of the Summary Compensation Table.</w:t>
      </w:r>
    </w:p>
    <w:p>
      <w:pPr>
        <w:spacing w:after="0" w:line="187"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i w:val="1"/>
          <w:iCs w:val="1"/>
          <w:color w:val="auto"/>
        </w:rPr>
        <w:t xml:space="preserve">401(k) Investment Plan (“401(k) Plan”) </w:t>
      </w:r>
      <w:r>
        <w:rPr>
          <w:rFonts w:ascii="Arial" w:cs="Arial" w:eastAsia="Arial" w:hAnsi="Arial"/>
          <w:sz w:val="17"/>
          <w:szCs w:val="17"/>
          <w:color w:val="auto"/>
        </w:rPr>
        <w:t>– The Ferrell Companies, Inc. 401(k) Investment Plan is a 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contribution plan, which includes both employee contributions and employer matching contributions. All employees of our general partner or any of its direct or indirect wholly-owned subsidiaries, including NEOs, who are not part of a collective bargaining agreement are eligible to participate in the 401(k) Plan. The 401(k) Plan has a 401(k) feature allowing all eligible employees to specify a portion of their pre-tax and/or after-tax compensation to be contributed to the 401(k) Plan. It also provides for matching contributions under a cash or deferred arrangement based upon participant salaries and employee contributions to the 401(k) Plan.</w:t>
      </w:r>
    </w:p>
    <w:p>
      <w:pPr>
        <w:spacing w:after="0" w:line="177"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Due to Internal Revenue Code “Highly Compensated Employee” rules and regulations, NEOs may only contribute up to approximately 6% of their eligible compensation to the 401(k) Plan. We will provide a 50% matching contribution of the first 8% of all eligible contributions made to the 401(k) Plan and the SSP (as defined below) combined. Employee contributions are 100% vested, while the company’s matching contributions vest ratably over the first five years of employment. Employee and our matching contributions can be directed, at the employee’s option, to be invested in a number of investment options that are offered by the 401(k) Plan.</w:t>
      </w:r>
    </w:p>
    <w:p>
      <w:pPr>
        <w:spacing w:after="0" w:line="178" w:lineRule="exact"/>
        <w:rPr>
          <w:sz w:val="20"/>
          <w:szCs w:val="20"/>
          <w:color w:val="auto"/>
        </w:rPr>
      </w:pPr>
    </w:p>
    <w:p>
      <w:pPr>
        <w:jc w:val="both"/>
        <w:ind w:left="60" w:right="199" w:firstLine="648"/>
        <w:spacing w:after="0" w:line="255" w:lineRule="auto"/>
        <w:rPr>
          <w:sz w:val="20"/>
          <w:szCs w:val="20"/>
          <w:color w:val="auto"/>
        </w:rPr>
      </w:pPr>
      <w:r>
        <w:rPr>
          <w:rFonts w:ascii="Arial" w:cs="Arial" w:eastAsia="Arial" w:hAnsi="Arial"/>
          <w:sz w:val="18"/>
          <w:szCs w:val="18"/>
          <w:i w:val="1"/>
          <w:iCs w:val="1"/>
          <w:color w:val="auto"/>
        </w:rPr>
        <w:t xml:space="preserve">Supplemental Savings Plan (“SSP”) </w:t>
      </w:r>
      <w:r>
        <w:rPr>
          <w:rFonts w:ascii="Arial" w:cs="Arial" w:eastAsia="Arial" w:hAnsi="Arial"/>
          <w:sz w:val="18"/>
          <w:szCs w:val="18"/>
          <w:color w:val="auto"/>
        </w:rPr>
        <w:t>– The Ferrell Companies, Inc. Supplemental Savings Plan was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1994 in order to provide certain management or highly compensated employees with supplemental retirement income which is approximately equal in amount to the retirement income that such employees would have received under the terms of the 401(k) feature of the above 401(k) Plan based on such members’ deferral elections thereunder, but which could not be provided under the 401(k) feature of the 401(k) Plan due to the application of certain “Highly Compensated Employee” IRS rules and regulations.</w:t>
      </w:r>
    </w:p>
    <w:p>
      <w:pPr>
        <w:spacing w:after="0" w:line="192"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This non-qualified plan is available to all employees who have been designated as “Highly Compensated” as defined in the Internal Revenue Code. NEOs are allowed to make, subject to Internal Revenue Code limitations, pre-tax contributions to the SSP of up to 25% of their eligible compensation. We provide a 50% matching contribution of the first 8% of all eligible contributions made to the SSP and the above 401(k) Plan combined. Employee contributions are 100% vested, while our matching contributions vest ratably over the first 5 years of employment. Employee and our matching contributions can be directed, at the employee’s option, to be invested in a number of investment options that are identical to the investment options offered under the 401(k) Plan.</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compensation of our NEOs for the last two fiscal years: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Fiscal Year</w:t>
            </w:r>
          </w:p>
        </w:tc>
        <w:tc>
          <w:tcPr>
            <w:tcW w:w="820" w:type="dxa"/>
            <w:vAlign w:val="bottom"/>
            <w:gridSpan w:val="2"/>
            <w:vMerge w:val="continue"/>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w:t>
            </w: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E. Ferrell (2)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Interim Chief Executive Officer and President;</w:t>
            </w:r>
          </w:p>
        </w:tc>
        <w:tc>
          <w:tcPr>
            <w:tcW w:w="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William E. Ruisinger</w:t>
            </w:r>
          </w:p>
        </w:tc>
        <w:tc>
          <w:tcPr>
            <w:tcW w:w="84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w w:val="92"/>
              </w:rPr>
              <w:t>375,000</w:t>
            </w:r>
          </w:p>
        </w:tc>
        <w:tc>
          <w:tcPr>
            <w:tcW w:w="140" w:type="dxa"/>
            <w:vAlign w:val="bottom"/>
          </w:tcPr>
          <w:p>
            <w:pPr>
              <w:spacing w:after="0"/>
              <w:rPr>
                <w:sz w:val="17"/>
                <w:szCs w:val="17"/>
                <w:color w:val="auto"/>
              </w:rPr>
            </w:pPr>
          </w:p>
        </w:tc>
        <w:tc>
          <w:tcPr>
            <w:tcW w:w="50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16,886</w:t>
            </w:r>
          </w:p>
        </w:tc>
        <w:tc>
          <w:tcPr>
            <w:tcW w:w="16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9"/>
              </w:rPr>
              <w:t>391,886</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Chief Financial Officer; Treasurer</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283,876</w:t>
            </w:r>
          </w:p>
        </w:tc>
        <w:tc>
          <w:tcPr>
            <w:tcW w:w="14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18,022</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301,898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Tamria A. Zertuche</w:t>
            </w:r>
          </w:p>
        </w:tc>
        <w:tc>
          <w:tcPr>
            <w:tcW w:w="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369,231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381,460</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and Chief Information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4"/>
              </w:rPr>
              <w:t>Officer (effective August 24, 2020, Ms. Zertuche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was promoted to Chief Operating Officer)</w:t>
            </w:r>
          </w:p>
        </w:tc>
        <w:tc>
          <w:tcPr>
            <w:tcW w:w="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295,481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315,654</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Bryan J. Wright (3)</w:t>
            </w:r>
          </w:p>
        </w:tc>
        <w:tc>
          <w:tcPr>
            <w:tcW w:w="84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w w:val="92"/>
              </w:rPr>
              <w:t>338,462</w:t>
            </w:r>
          </w:p>
        </w:tc>
        <w:tc>
          <w:tcPr>
            <w:tcW w:w="140" w:type="dxa"/>
            <w:vAlign w:val="bottom"/>
          </w:tcPr>
          <w:p>
            <w:pPr>
              <w:spacing w:after="0"/>
              <w:rPr>
                <w:sz w:val="17"/>
                <w:szCs w:val="17"/>
                <w:color w:val="auto"/>
              </w:rPr>
            </w:pPr>
          </w:p>
        </w:tc>
        <w:tc>
          <w:tcPr>
            <w:tcW w:w="50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49,254</w:t>
            </w:r>
          </w:p>
        </w:tc>
        <w:tc>
          <w:tcPr>
            <w:tcW w:w="16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9"/>
              </w:rPr>
              <w:t>387,716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Former Senior Vice President and Chief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Operating Officer</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332,550</w:t>
            </w:r>
          </w:p>
        </w:tc>
        <w:tc>
          <w:tcPr>
            <w:tcW w:w="14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22,190</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354,740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39" w:hanging="330"/>
        <w:spacing w:after="0" w:line="301"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See Note B – Summary of significant accounting policies (16) Stock-based plans – to our consolidated financial statements for information concerning these awards. The value reported represents the aggregate grant date fair value computed in accordance with Financial Accounting Standards Board (“FASB”) ASC Topic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option awards issued during fiscal 2018 were subsequently cancelled.</w:t>
      </w:r>
    </w:p>
    <w:p>
      <w:pPr>
        <w:spacing w:after="0" w:line="157" w:lineRule="exact"/>
        <w:rPr>
          <w:rFonts w:ascii="Arial" w:cs="Arial" w:eastAsia="Arial" w:hAnsi="Arial"/>
          <w:sz w:val="16"/>
          <w:szCs w:val="16"/>
          <w:color w:val="auto"/>
        </w:rPr>
      </w:pPr>
    </w:p>
    <w:p>
      <w:pPr>
        <w:ind w:left="380" w:right="119"/>
        <w:spacing w:after="0" w:line="286" w:lineRule="auto"/>
        <w:rPr>
          <w:rFonts w:ascii="Arial" w:cs="Arial" w:eastAsia="Arial" w:hAnsi="Arial"/>
          <w:sz w:val="16"/>
          <w:szCs w:val="16"/>
          <w:color w:val="auto"/>
        </w:rPr>
      </w:pPr>
      <w:r>
        <w:rPr>
          <w:rFonts w:ascii="Arial" w:cs="Arial" w:eastAsia="Arial" w:hAnsi="Arial"/>
          <w:sz w:val="17"/>
          <w:szCs w:val="17"/>
          <w:color w:val="auto"/>
        </w:rPr>
        <w:t>Mr. Ferrell elected not to receive a salary due to his status as interim Chief Executive Officer and his position as Chairman of the Board of Directors. The amounts in the “All Other Compensation” column represent compensation in respect of his service on the Board of Directors, which is further described in the table below.</w:t>
      </w:r>
    </w:p>
    <w:p>
      <w:pPr>
        <w:spacing w:after="0" w:line="165" w:lineRule="exact"/>
        <w:rPr>
          <w:rFonts w:ascii="Arial" w:cs="Arial" w:eastAsia="Arial" w:hAnsi="Arial"/>
          <w:sz w:val="16"/>
          <w:szCs w:val="16"/>
          <w:color w:val="auto"/>
        </w:rPr>
      </w:pPr>
    </w:p>
    <w:p>
      <w:pPr>
        <w:ind w:left="380" w:hanging="330"/>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May 11, 2020, Mr. Wright resigned as Senior Vice President and Chief Operating Officer.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 Other Compensation” column of the Summary Compensation Table consisted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ESOP</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401(k) Plan</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SSP</w:t>
            </w:r>
          </w:p>
        </w:tc>
        <w:tc>
          <w:tcPr>
            <w:tcW w:w="6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Total All Other</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40" w:type="dxa"/>
            <w:vAlign w:val="bottom"/>
            <w:gridSpan w:val="2"/>
          </w:tcPr>
          <w:p>
            <w:pPr>
              <w:jc w:val="center"/>
              <w:ind w:left="55"/>
              <w:spacing w:after="0" w:line="149" w:lineRule="exact"/>
              <w:rPr>
                <w:sz w:val="20"/>
                <w:szCs w:val="20"/>
                <w:color w:val="auto"/>
              </w:rPr>
            </w:pPr>
            <w:r>
              <w:rPr>
                <w:rFonts w:ascii="Arial" w:cs="Arial" w:eastAsia="Arial" w:hAnsi="Arial"/>
                <w:sz w:val="14"/>
                <w:szCs w:val="14"/>
                <w:b w:val="1"/>
                <w:bCs w:val="1"/>
                <w:color w:val="auto"/>
                <w:w w:val="92"/>
              </w:rPr>
              <w:t>Allocations</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Match</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Match</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E. Ferrell (1)</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E. Ruisinger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8,516</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18,022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Tamria A. Zertuche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11,309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8,864</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J. Wright (2)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49,254</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12,182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10,008</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right="319" w:hanging="330"/>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Ferrell received $200,000 of fees paid in cash in respect of his service on the Board during both fiscal 2020 and fiscal 2019.</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May 11, 2020, Mr. Wright resigned as Senior Vice President and Chief Operating Officer.</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represents earned and unpaid vacation.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During fiscal 2020, there were no agreements, plans, or arrangements in effect obligating us to make payments to a NEO upon termination or change in control other than the ICP described above under “Equity-based Incentive Compensation Plan” and the Change in Control Retention Bonus Letter Agreements (each a “CIC Bonus Agreement”) described below. Had a change in control of Ferrell Companies occurred on July 31, 2020, the last business day of fiscal 2020, all SARs issued under the ICP were valued at zero and, accordingly, no payment thereunder would have been due to any of our NEOs.</w:t>
      </w:r>
    </w:p>
    <w:p>
      <w:pPr>
        <w:spacing w:after="0" w:line="19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On April 24, 2020, our general partner entered into a CIC Bonus Agreement with each of Mr. Ruisinger, Ms. Zertuche and Mr. Wright (each, a “CIC Bonus Officer”). Pursuant to the terms of each CIC Bonus Agreement, commencing on April 24, 2020 and continuing through the date of consummation of a “Change in Control” (as defined in the CIC Bonus Agreement) that occurs on or prior to April 30, 2021 (the “Retention Period”), our general partner will pay a change in control retention bonus in an amount equal to 1.5 times each CIC Bonus Officer’s current base compensation rate, less applicable withholdings and deductions required by law (the “Change in Control Retention Bonus”). Eligibility to receive the Change in Control Retention Bonus requires that the Change in Control occurs during the Retention Period and that the CIC Bonus Officer is employed on a continuous basis through the date of consummation of a Change in Control that occurs during the Retention Period. Mr. Wright resigned as Senior Vice President and Chief Operating Officer on May 11, 2020 and his CIC Bonus Agreement is no longer in effect.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believe the compensation package for the non-employee members of the Board of Directors of our general partner should compensate our non-employee directors in a manner that is competitive within the marketplace. Our compensation package includes a combination of annual director fees and SAR awards. Total compensation awarded to our non-employee directors varies depending upon their level of activity within the Board. All directors are paid a base fee, plus additional fees depending on their level of activity. The base fee as of July 31, 2020 was $125,000 per year. Additionally, each Board member accrues $12,500 per calendar quarter, as part of an incentive bonus plan, which is paid out the following year on January 1 if they are still an active Board member. Participation in and chairing of committees within the Board will increase the level of compensation paid to an individual Board member. The Chairman of the Board received an additional $75,000 in cash compensation, and the respective Chairman of the Audit Committee, Compensation Committee and Corporate Governance and Nominating Committee received an additional $17,500, $11,250, and $11,250, respectively.</w:t>
      </w:r>
    </w:p>
    <w:p>
      <w:pPr>
        <w:spacing w:after="0" w:line="182" w:lineRule="exact"/>
        <w:rPr>
          <w:sz w:val="20"/>
          <w:szCs w:val="20"/>
          <w:color w:val="auto"/>
        </w:rPr>
      </w:pPr>
    </w:p>
    <w:p>
      <w:pPr>
        <w:ind w:left="60" w:right="339" w:firstLine="648"/>
        <w:spacing w:after="0" w:line="257" w:lineRule="auto"/>
        <w:rPr>
          <w:sz w:val="20"/>
          <w:szCs w:val="20"/>
          <w:color w:val="auto"/>
        </w:rPr>
      </w:pPr>
      <w:r>
        <w:rPr>
          <w:rFonts w:ascii="Arial" w:cs="Arial" w:eastAsia="Arial" w:hAnsi="Arial"/>
          <w:sz w:val="18"/>
          <w:szCs w:val="18"/>
          <w:color w:val="auto"/>
        </w:rPr>
        <w:t>Our Chief Executive Officer formulates preliminary annual director fee and SAR awards recommendations for each Board member. These recommendations are subject to review and approval by the Compensation Committee. To assist our Chief Executive Officer and the Compensation Committee, publicly available board of director compensation data within our industry is reviewed to provide market data that is used to create benchmarks for each director’s annual director fee and total compensation package.</w:t>
      </w:r>
    </w:p>
    <w:p>
      <w:pPr>
        <w:spacing w:after="0" w:line="18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SAR awards for non-employee members of the Board are determined utilizing competitive compensation data that is gathered on an annual basis. Annually we compare the compensation of our Board with the compensation levels and practices of companies that are of similar size and operate in similar industries. We utilize that data to analyze the compensation of our non-employee members of the Board and ensure that we are competitive in the marketplace for compensating our Board. SAR awards are one element of that compensation, and the actual awards that are granted are determined on a discretionary basis. All SAR awards granted to our non-employee directors have an exercise price equal to the most recently published semi-annual valuation that is performed on Ferrell Companies for the purposes of the ESOP. No SAR awards were granted to our non-employee directors during fiscal 2020.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following table sets forth the compensation of our non-employee directors for the last completed fiscal year. Mr. Ferrell, who serves as the Chairman of the Board of Directors of our general partner, is also the Interim Chief Executive Officer and President of our general partner, and all compensation for his service on the Board of Directors of our general partner is included in the Summary Compensation Table above.</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Fees Paid in</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Cash ($)</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Andrew Levison (1)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John R. Lowden (1)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186,252</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186,252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Michael F. Morrissey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192,500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Pamela A. Breuckmann (3)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Stephen M. Clifford (4)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186,252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186,252</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James K. Schwartz (5)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July 31, 2020, this director had 90,000 SAR awards outstanding.</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July 31, 2020, this director had 109,000 SAR awards outstanding.</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July 31, 2020, this director had 33,000 SAR awards outstanding.</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July 31, 2020, this director had 50,000 SAR awards outstanding.</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December 2019, James K. Schwartz resigned from the Board.</w:t>
      </w:r>
    </w:p>
    <w:p>
      <w:pPr>
        <w:spacing w:after="0" w:line="221" w:lineRule="exact"/>
        <w:rPr>
          <w:sz w:val="20"/>
          <w:szCs w:val="20"/>
          <w:color w:val="auto"/>
        </w:rPr>
      </w:pPr>
    </w:p>
    <w:p>
      <w:pPr>
        <w:ind w:left="980" w:right="519"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UNITHOLDER MATTERS.</w:t>
      </w:r>
    </w:p>
    <w:p>
      <w:pPr>
        <w:spacing w:after="0" w:line="16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following table sets forth certain information as of October 15, 2020, regarding the beneficial ownership of our common units by:</w:t>
      </w:r>
    </w:p>
    <w:p>
      <w:pPr>
        <w:spacing w:after="0" w:line="170" w:lineRule="exact"/>
        <w:rPr>
          <w:sz w:val="20"/>
          <w:szCs w:val="20"/>
          <w:color w:val="auto"/>
        </w:rPr>
      </w:pPr>
    </w:p>
    <w:p>
      <w:pPr>
        <w:ind w:left="1020" w:hanging="32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that own more than 5% of our common units;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that are directors, nominees or named executive officers of our general partner; and</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directors and executive officers of our general partner as a group.</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Other than those persons listed below, our general partner knows of no other person beneficially owning more than 5% of our common units.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Ferrellgas Partners, L.P.</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4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Units</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2020" w:type="dxa"/>
            <w:vAlign w:val="bottom"/>
            <w:vMerge w:val="continue"/>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95"/>
        </w:trPr>
        <w:tc>
          <w:tcPr>
            <w:tcW w:w="2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Common units</w:t>
            </w:r>
          </w:p>
        </w:tc>
        <w:tc>
          <w:tcPr>
            <w:tcW w:w="16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Ferrell Companies, Inc. Employee Stock Ownership Trust 125</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20"/>
                <w:szCs w:val="20"/>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 LaSalle Street, 17th floor Chicago, IL 60603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22,776,251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474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1"/>
              </w:rPr>
              <w:t>James E. Ferrell 7500 College Blvd. Suite 1000 Overland Park,</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KS 66210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4,763,475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William E. Ruisinger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Bryan J. Wright (1)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Tamria A. Zertuche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 Andrew Levison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John R. Lowden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Michael F. Morrissey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Stephen M. Clifford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Pamela A. Breuckmann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41,914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James K. Schwartz (2)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w w:val="94"/>
              </w:rPr>
              <w:t>All Directors and Executive Officers as a Group in fiscal 2020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4,857,389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hanging="330"/>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May 11, 2020, Mr. Wright resigned as Senior Vice President and Chief Operating Officer.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December 2019, James K. Schwartz resigned from the Board.</w:t>
      </w:r>
    </w:p>
    <w:p>
      <w:pPr>
        <w:spacing w:after="0" w:line="225"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Beneficial ownership for the purposes of the foregoing table is defined by Rule 13d-3 under the Exchange Act. Under that rule, a person is generally considered to be the beneficial owner of a security if he has or shares the power to vote or direct the voting thereof, and/or to dispose or direct the disposition thereof, or has the right to acquire either of those powers within 60 days.</w:t>
      </w:r>
    </w:p>
    <w:p>
      <w:pPr>
        <w:spacing w:after="0" w:line="187"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All common stock of Ferrell Companies, Inc. (“FCI shares”) held in the Ferrell Companies, Inc. Employee Stock Ownership Trust (the “Trust”) is ultimately voted by the appointed trustee. The current independent trustee (the “Trustee”) of the Trust is James Urbach. Each participant in the Ferrell Companies, Inc. Employee Stock Ownership Plan (the “ESOP”) may be entitled to direct the Trustee as to the exercise of any voting rights attributable to FCI shares allocated to their ESOP account, but only to the extent required by the Internal Revenue Code. The ESOP plan administrator directs the Trustee how to vote both FCI shares not allocated to plan participants (i.e., held in a Trust suspense account) and any allocated FCI shares in the Trust as to which no voting instructions have been received from participants. In all cases, the Trustee may vote the shares as it determines is necessary to fulfill its fiduciary duties under ERISA.</w:t>
      </w:r>
    </w:p>
    <w:p>
      <w:pPr>
        <w:spacing w:after="0" w:line="16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common units beneficially owned by the Trust at October 15, 2020 include 22,529,361 common units owned by Ferrell Companies which is 100% owned by the Trust, 195,686 common units owned by FCI Trading Corp., a wholly-owned subsidiary of Ferrell Companies and 51,204 common units owned by Ferrell Propane, Inc., a wholly-owned subsidiary of our general partner.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0" w:right="1419"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Our written Code of Business Conduct and Ethics applies to our directors, officers and employees. It deals with conflicts of interest, confidential information, use of company assets, business dealings, and other similar topics. The Code prohibits any transaction that raises questions of possible ethical or legal conflict between the interests of the company and an employee’s personal interests.</w:t>
      </w:r>
    </w:p>
    <w:p>
      <w:pPr>
        <w:spacing w:after="0" w:line="187"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Board of Directors maintains policies that govern specific related party transactions. Each of these policies contain guidelines on what entities or natural persons are considered related parties or an affiliate and the related procedures that are to be followed if transactions occur with these parties. On a quarterly basis, or more frequently if required by the policies, management provides the board with a discussion of any related party or affiliate trading transactions. Annually, these policies are reviewed by the board’s Corporate Governance and Nominating Committee and considered for approval by the Board of Directors.</w:t>
      </w:r>
    </w:p>
    <w:p>
      <w:pPr>
        <w:spacing w:after="0" w:line="178"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directors and officers are required each year to respond to a detailed questionnaire. The questionnaire requires each director and officer to identify every non-Company organization of any type of which they or their family (as defined by the SEC) are a director, partner, member, trustee, officer, employee, representative, consultant or significant shareholder. The questionnaire also requires disclosure of any transaction, relationship or arrangement with the Company. The information obtained from these questionnaires is then evaluated to determine the nature and amount of any transactions or relationships. If significant, the results are provided to the Corporate Governance and Nominating Committee and Board for their use in determining director and officer independence and related party disclosure obligations.</w:t>
      </w:r>
    </w:p>
    <w:p>
      <w:pPr>
        <w:spacing w:after="0" w:line="16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have no employees and are managed and controlled by our general partner. Pursuant to our partnership agreement,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$290.3 million for fiscal 2020, include operating expenses such as compensation and benefits paid to employees of our general partner who perform services on our behalf, as well as related general and administrative expenses.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Related party common unitholder information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Distributions paid</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 ownership</w:t>
            </w:r>
          </w:p>
        </w:tc>
        <w:tc>
          <w:tcPr>
            <w:tcW w:w="1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during the year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160" w:type="dxa"/>
            <w:vAlign w:val="bottom"/>
            <w:gridSpan w:val="2"/>
          </w:tcPr>
          <w:p>
            <w:pPr>
              <w:jc w:val="center"/>
              <w:ind w:left="4074"/>
              <w:spacing w:after="0"/>
              <w:rPr>
                <w:sz w:val="20"/>
                <w:szCs w:val="20"/>
                <w:color w:val="auto"/>
              </w:rPr>
            </w:pPr>
            <w:r>
              <w:rPr>
                <w:rFonts w:ascii="Arial" w:cs="Arial" w:eastAsia="Arial" w:hAnsi="Arial"/>
                <w:sz w:val="14"/>
                <w:szCs w:val="14"/>
                <w:b w:val="1"/>
                <w:bCs w:val="1"/>
                <w:color w:val="auto"/>
                <w:w w:val="93"/>
              </w:rPr>
              <w:t>at July 31, 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July 31, 2020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Ferrell Companies (1)</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22,529,361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James E. Ferrell (2)</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4,763,475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FCI Trading Corp. (3)</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Ferrell Propane, Inc. (4)</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51,204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101"/>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283" w:lineRule="exact"/>
        <w:rPr>
          <w:sz w:val="20"/>
          <w:szCs w:val="20"/>
          <w:color w:val="auto"/>
        </w:rPr>
      </w:pPr>
    </w:p>
    <w:p>
      <w:pPr>
        <w:ind w:left="380" w:right="279" w:hanging="330"/>
        <w:spacing w:after="0" w:line="279" w:lineRule="auto"/>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Ferrell Companies is the owner of the general partner and an approximate 23% direct owner of Ferrellgas Partners’ common units and thus a related party. Ferrell Companies also beneficially owns - and - common units of Ferrellgas Partners held by FCI Trading Corp. (“FCI Trading”) and Ferrell Propane, Inc. (“Ferrell Propane”), respectively, bringing Ferrell Companies’ total beneficial ownership to 23.4%.</w:t>
      </w:r>
    </w:p>
    <w:p>
      <w:pPr>
        <w:spacing w:after="0" w:line="171" w:lineRule="exact"/>
        <w:rPr>
          <w:rFonts w:ascii="Arial" w:cs="Arial" w:eastAsia="Arial" w:hAnsi="Arial"/>
          <w:sz w:val="17"/>
          <w:szCs w:val="17"/>
          <w:color w:val="auto"/>
        </w:rPr>
      </w:pPr>
    </w:p>
    <w:p>
      <w:pPr>
        <w:ind w:left="380" w:right="79" w:hanging="330"/>
        <w:spacing w:after="0" w:line="296"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James E. Ferrell is the Interim Chief Executive Officer and President of our general partner; and is the Chairman of the Board of Directors of our general partner. JEF Capital Management owns 4,758,859 of these common units and is owned by the James E. Ferrell Revocable Trust Two and other family trusts, all of which James E. Ferrell and/or his family members are the trustees and beneficiaries. James E. Ferrell holds all voting common stock of JEF Capital Management. The remaining 4,616 common units are held by Ferrell Resources Holdings, Inc., which 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59"/>
        <w:spacing w:after="0" w:line="277" w:lineRule="auto"/>
        <w:rPr>
          <w:sz w:val="20"/>
          <w:szCs w:val="20"/>
          <w:color w:val="auto"/>
        </w:rPr>
      </w:pPr>
      <w:r>
        <w:rPr>
          <w:rFonts w:ascii="Arial" w:cs="Arial" w:eastAsia="Arial" w:hAnsi="Arial"/>
          <w:sz w:val="18"/>
          <w:szCs w:val="18"/>
          <w:color w:val="auto"/>
        </w:rPr>
        <w:t>wholly-owned by the James E. Ferrell Revocable Trust One, for which James E. Ferrell is the trustee and sole beneficiary.</w:t>
      </w:r>
    </w:p>
    <w:p>
      <w:pPr>
        <w:spacing w:after="0" w:line="170" w:lineRule="exact"/>
        <w:rPr>
          <w:sz w:val="20"/>
          <w:szCs w:val="20"/>
          <w:color w:val="auto"/>
        </w:rPr>
      </w:pPr>
    </w:p>
    <w:p>
      <w:pPr>
        <w:ind w:left="380" w:hanging="330"/>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FCI Trading is an affiliate of the general partner and thus a related party.</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Ferrell Propane, Inc. is controlled by the general partner and thus a related party.</w:t>
      </w:r>
    </w:p>
    <w:p>
      <w:pPr>
        <w:spacing w:after="0" w:line="225" w:lineRule="exact"/>
        <w:rPr>
          <w:sz w:val="20"/>
          <w:szCs w:val="20"/>
          <w:color w:val="auto"/>
        </w:rPr>
      </w:pPr>
    </w:p>
    <w:p>
      <w:pPr>
        <w:ind w:left="60" w:right="999" w:firstLine="648"/>
        <w:spacing w:after="0" w:line="277" w:lineRule="auto"/>
        <w:rPr>
          <w:sz w:val="20"/>
          <w:szCs w:val="20"/>
          <w:color w:val="auto"/>
        </w:rPr>
      </w:pPr>
      <w:r>
        <w:rPr>
          <w:rFonts w:ascii="Arial" w:cs="Arial" w:eastAsia="Arial" w:hAnsi="Arial"/>
          <w:sz w:val="18"/>
          <w:szCs w:val="18"/>
          <w:color w:val="auto"/>
        </w:rPr>
        <w:t>During fiscal 2020, Ferrellgas Partners and the operating partnership together paid the general partner distributions of $0.2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Business Relationships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Indebtedness of Management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Promoters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Board has affirmatively determined that Ms. Breuckmann, Mr. Clifford, Mr. Levison, Mr. Lowden and Mr. Morrissey, who constitute a majority of its Directors, are “independent” as described by the NYSE’s corporate governance rules. The Board previously affirmatively determined that Mr. Schwartz, a former director, was “independent” as described by the NYSE’s corporate governance rules.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following table presents fees for professional services rendered by Grant Thornton LLP for the audit of the Company’s annual financial statements for the years ended July 31, 2020 and July 31, 2019 and fees billed for other services rendered by Grant Thornton LLP for such years, unless otherwise noted: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tcPr>
          <w:p>
            <w:pPr>
              <w:ind w:left="9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r>
      <w:tr>
        <w:trPr>
          <w:trHeight w:val="210"/>
        </w:trPr>
        <w:tc>
          <w:tcPr>
            <w:tcW w:w="9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9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 (4)</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92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ind w:left="380" w:right="99" w:hanging="330"/>
        <w:spacing w:after="0" w:line="273"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Audit fees consist of the aggregate fees billed for each of the last two fiscal years for professional services rendered by Grant Thornton LLP in connection with the audit of our annual financial statements and the review of financial statements included in our quarterly reports on Form 10-Q. In addition, these fees also covered those services that are normally provided by an accountant in connection with statutory and regulatory filings or engagements and services related to the audit of our internal controls over financial reporting, accounting consultations, consents, comfort letters and assistance with and review of documents filed with the SEC.</w:t>
      </w:r>
    </w:p>
    <w:p>
      <w:pPr>
        <w:spacing w:after="0" w:line="177" w:lineRule="exact"/>
        <w:rPr>
          <w:rFonts w:ascii="Arial" w:cs="Arial" w:eastAsia="Arial" w:hAnsi="Arial"/>
          <w:sz w:val="17"/>
          <w:szCs w:val="17"/>
          <w:color w:val="auto"/>
        </w:rPr>
      </w:pPr>
    </w:p>
    <w:p>
      <w:pPr>
        <w:ind w:left="380" w:right="359" w:hanging="330"/>
        <w:spacing w:after="0" w:line="311" w:lineRule="auto"/>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Audit-related fees consist of the aggregate fees billed in each of the last two fiscal years for assurance and related services by Grant Thornton LLP that we believe are reasonably related to the performance of the audit or review of our financial statements and that would not normally be reported under Item 9(e)(1) of Schedule 14A. These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39"/>
        <w:spacing w:after="0" w:line="277" w:lineRule="auto"/>
        <w:rPr>
          <w:sz w:val="20"/>
          <w:szCs w:val="20"/>
          <w:color w:val="auto"/>
        </w:rPr>
      </w:pPr>
      <w:r>
        <w:rPr>
          <w:rFonts w:ascii="Arial" w:cs="Arial" w:eastAsia="Arial" w:hAnsi="Arial"/>
          <w:sz w:val="18"/>
          <w:szCs w:val="18"/>
          <w:color w:val="auto"/>
        </w:rPr>
        <w:t>services generally consisted of financial accounting and reporting consultations not classified as audit fees, due diligence related to mergers and acquisitions and audits of our benefit plans.</w:t>
      </w:r>
    </w:p>
    <w:p>
      <w:pPr>
        <w:spacing w:after="0" w:line="170" w:lineRule="exact"/>
        <w:rPr>
          <w:sz w:val="20"/>
          <w:szCs w:val="20"/>
          <w:color w:val="auto"/>
        </w:rPr>
      </w:pPr>
    </w:p>
    <w:p>
      <w:pPr>
        <w:ind w:left="380" w:right="79" w:hanging="330"/>
        <w:spacing w:after="0" w:line="277"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 fees, which there were none in fiscal 2020 and fiscal 2019, represent fees for professional tax services provided by Grant Thornton.</w:t>
      </w:r>
    </w:p>
    <w:p>
      <w:pPr>
        <w:spacing w:after="0" w:line="170" w:lineRule="exact"/>
        <w:rPr>
          <w:rFonts w:ascii="Arial" w:cs="Arial" w:eastAsia="Arial" w:hAnsi="Arial"/>
          <w:sz w:val="18"/>
          <w:szCs w:val="18"/>
          <w:color w:val="auto"/>
        </w:rPr>
      </w:pPr>
    </w:p>
    <w:p>
      <w:pPr>
        <w:ind w:left="380" w:right="299" w:hanging="330"/>
        <w:spacing w:after="0" w:line="342" w:lineRule="auto"/>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other fees, which were $0.1 million in fiscal 2020 and zero in fiscal 2019, represent the aggregate fees billed for products and services provided by Grant Thornton, other than Audit fees, Audit-related fees and Tax fees.</w:t>
      </w:r>
    </w:p>
    <w:p>
      <w:pPr>
        <w:spacing w:after="0" w:line="124"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Audit Committee of our general partner reviewed and approved all audit and non-audit services provided to us by Grant Thornton LLP during fiscal 2020 and 2019, respectively, prior to the commencement of such services. See “Item 10. Directors and Executive Officers of the Registrants–Audit Committee” for a description of the Audit Committee’s pre-approval policies and procedures related to the engagement by us of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9" w:lineRule="exact"/>
        <w:rPr>
          <w:sz w:val="20"/>
          <w:szCs w:val="20"/>
          <w:color w:val="auto"/>
        </w:rPr>
      </w:pPr>
    </w:p>
    <w:p>
      <w:pPr>
        <w:ind w:left="780" w:hanging="705"/>
        <w:spacing w:after="0"/>
        <w:tabs>
          <w:tab w:leader="none" w:pos="780" w:val="left"/>
        </w:tabs>
        <w:numPr>
          <w:ilvl w:val="0"/>
          <w:numId w:val="65"/>
        </w:numPr>
        <w:rPr>
          <w:rFonts w:ascii="Arial" w:cs="Arial" w:eastAsia="Arial" w:hAnsi="Arial"/>
          <w:sz w:val="18"/>
          <w:szCs w:val="18"/>
          <w:b w:val="1"/>
          <w:bCs w:val="1"/>
          <w:u w:val="single" w:color="auto"/>
          <w:color w:val="0000EE"/>
        </w:rPr>
      </w:pPr>
      <w:hyperlink w:anchor="page100">
        <w:r>
          <w:rPr>
            <w:rFonts w:ascii="Arial" w:cs="Arial" w:eastAsia="Arial" w:hAnsi="Arial"/>
            <w:sz w:val="18"/>
            <w:szCs w:val="18"/>
            <w:b w:val="1"/>
            <w:bCs w:val="1"/>
            <w:u w:val="single" w:color="auto"/>
            <w:color w:val="0000EE"/>
          </w:rPr>
          <w:t>Exhibits.</w:t>
        </w:r>
      </w:hyperlink>
    </w:p>
    <w:p>
      <w:pPr>
        <w:spacing w:after="0" w:line="27" w:lineRule="exact"/>
        <w:rPr>
          <w:rFonts w:ascii="Arial" w:cs="Arial" w:eastAsia="Arial" w:hAnsi="Arial"/>
          <w:sz w:val="18"/>
          <w:szCs w:val="18"/>
          <w:b w:val="1"/>
          <w:bCs w:val="1"/>
          <w:u w:val="single" w:color="auto"/>
          <w:color w:val="0000EE"/>
        </w:rPr>
      </w:pPr>
    </w:p>
    <w:p>
      <w:pPr>
        <w:ind w:left="780"/>
        <w:spacing w:after="0"/>
        <w:rPr>
          <w:rFonts w:ascii="Arial" w:cs="Arial" w:eastAsia="Arial" w:hAnsi="Arial"/>
          <w:sz w:val="18"/>
          <w:szCs w:val="18"/>
          <w:b w:val="1"/>
          <w:bCs w:val="1"/>
          <w:u w:val="single" w:color="auto"/>
          <w:color w:val="0000EE"/>
        </w:rPr>
      </w:pPr>
      <w:r>
        <w:rPr>
          <w:rFonts w:ascii="Arial" w:cs="Arial" w:eastAsia="Arial" w:hAnsi="Arial"/>
          <w:sz w:val="18"/>
          <w:szCs w:val="18"/>
          <w:color w:val="auto"/>
        </w:rPr>
        <w:t>See “Index to Exhibits” set forth on page E-1.</w:t>
      </w:r>
    </w:p>
    <w:p>
      <w:pPr>
        <w:spacing w:after="0" w:line="22" w:lineRule="exact"/>
        <w:rPr>
          <w:rFonts w:ascii="Arial" w:cs="Arial" w:eastAsia="Arial" w:hAnsi="Arial"/>
          <w:sz w:val="18"/>
          <w:szCs w:val="18"/>
          <w:b w:val="1"/>
          <w:bCs w:val="1"/>
          <w:u w:val="single" w:color="auto"/>
          <w:color w:val="0000EE"/>
        </w:rPr>
      </w:pPr>
    </w:p>
    <w:p>
      <w:pPr>
        <w:ind w:left="780" w:hanging="705"/>
        <w:spacing w:after="0"/>
        <w:tabs>
          <w:tab w:leader="none" w:pos="780" w:val="left"/>
        </w:tabs>
        <w:numPr>
          <w:ilvl w:val="0"/>
          <w:numId w:val="65"/>
        </w:numPr>
        <w:rPr>
          <w:rFonts w:ascii="Arial" w:cs="Arial" w:eastAsia="Arial" w:hAnsi="Arial"/>
          <w:sz w:val="18"/>
          <w:szCs w:val="18"/>
          <w:b w:val="1"/>
          <w:bCs w:val="1"/>
          <w:u w:val="single" w:color="auto"/>
          <w:color w:val="0000EE"/>
        </w:rPr>
      </w:pPr>
      <w:hyperlink w:anchor="page109">
        <w:r>
          <w:rPr>
            <w:rFonts w:ascii="Arial" w:cs="Arial" w:eastAsia="Arial" w:hAnsi="Arial"/>
            <w:sz w:val="18"/>
            <w:szCs w:val="18"/>
            <w:b w:val="1"/>
            <w:bCs w:val="1"/>
            <w:u w:val="single" w:color="auto"/>
            <w:color w:val="0000EE"/>
          </w:rPr>
          <w:t>Financial Statements.</w:t>
        </w:r>
      </w:hyperlink>
    </w:p>
    <w:p>
      <w:pPr>
        <w:spacing w:after="0" w:line="22" w:lineRule="exact"/>
        <w:rPr>
          <w:rFonts w:ascii="Arial" w:cs="Arial" w:eastAsia="Arial" w:hAnsi="Arial"/>
          <w:sz w:val="18"/>
          <w:szCs w:val="18"/>
          <w:b w:val="1"/>
          <w:bCs w:val="1"/>
          <w:u w:val="single" w:color="auto"/>
          <w:color w:val="0000EE"/>
        </w:rPr>
      </w:pPr>
    </w:p>
    <w:p>
      <w:pPr>
        <w:ind w:left="780"/>
        <w:spacing w:after="0"/>
        <w:rPr>
          <w:rFonts w:ascii="Arial" w:cs="Arial" w:eastAsia="Arial" w:hAnsi="Arial"/>
          <w:sz w:val="18"/>
          <w:szCs w:val="18"/>
          <w:b w:val="1"/>
          <w:bCs w:val="1"/>
          <w:u w:val="single" w:color="auto"/>
          <w:color w:val="0000EE"/>
        </w:rPr>
      </w:pPr>
      <w:r>
        <w:rPr>
          <w:rFonts w:ascii="Arial" w:cs="Arial" w:eastAsia="Arial" w:hAnsi="Arial"/>
          <w:sz w:val="18"/>
          <w:szCs w:val="18"/>
          <w:color w:val="auto"/>
        </w:rPr>
        <w:t>See “Index to Financial Statements” set forth on page F-1.</w:t>
      </w:r>
    </w:p>
    <w:p>
      <w:pPr>
        <w:spacing w:after="0" w:line="22" w:lineRule="exact"/>
        <w:rPr>
          <w:rFonts w:ascii="Arial" w:cs="Arial" w:eastAsia="Arial" w:hAnsi="Arial"/>
          <w:sz w:val="18"/>
          <w:szCs w:val="18"/>
          <w:b w:val="1"/>
          <w:bCs w:val="1"/>
          <w:u w:val="single" w:color="auto"/>
          <w:color w:val="0000EE"/>
        </w:rPr>
      </w:pPr>
    </w:p>
    <w:p>
      <w:pPr>
        <w:ind w:left="780" w:hanging="705"/>
        <w:spacing w:after="0"/>
        <w:tabs>
          <w:tab w:leader="none" w:pos="780" w:val="left"/>
        </w:tabs>
        <w:numPr>
          <w:ilvl w:val="0"/>
          <w:numId w:val="65"/>
        </w:numPr>
        <w:rPr>
          <w:rFonts w:ascii="Arial" w:cs="Arial" w:eastAsia="Arial" w:hAnsi="Arial"/>
          <w:sz w:val="18"/>
          <w:szCs w:val="18"/>
          <w:b w:val="1"/>
          <w:bCs w:val="1"/>
          <w:u w:val="single" w:color="auto"/>
          <w:color w:val="0000EE"/>
        </w:rPr>
      </w:pPr>
      <w:hyperlink w:anchor="page209">
        <w:r>
          <w:rPr>
            <w:rFonts w:ascii="Arial" w:cs="Arial" w:eastAsia="Arial" w:hAnsi="Arial"/>
            <w:sz w:val="18"/>
            <w:szCs w:val="18"/>
            <w:b w:val="1"/>
            <w:bCs w:val="1"/>
            <w:u w:val="single" w:color="auto"/>
            <w:color w:val="0000EE"/>
          </w:rPr>
          <w:t>Financial Statement Schedules.</w:t>
        </w:r>
      </w:hyperlink>
    </w:p>
    <w:p>
      <w:pPr>
        <w:spacing w:after="0" w:line="22" w:lineRule="exact"/>
        <w:rPr>
          <w:rFonts w:ascii="Arial" w:cs="Arial" w:eastAsia="Arial" w:hAnsi="Arial"/>
          <w:sz w:val="18"/>
          <w:szCs w:val="18"/>
          <w:b w:val="1"/>
          <w:bCs w:val="1"/>
          <w:u w:val="single" w:color="auto"/>
          <w:color w:val="0000EE"/>
        </w:rPr>
      </w:pPr>
    </w:p>
    <w:p>
      <w:pPr>
        <w:ind w:left="780"/>
        <w:spacing w:after="0"/>
        <w:rPr>
          <w:rFonts w:ascii="Arial" w:cs="Arial" w:eastAsia="Arial" w:hAnsi="Arial"/>
          <w:sz w:val="18"/>
          <w:szCs w:val="18"/>
          <w:b w:val="1"/>
          <w:bCs w:val="1"/>
          <w:u w:val="single" w:color="auto"/>
          <w:color w:val="0000EE"/>
        </w:rPr>
      </w:pPr>
      <w:r>
        <w:rPr>
          <w:rFonts w:ascii="Arial" w:cs="Arial" w:eastAsia="Arial" w:hAnsi="Arial"/>
          <w:sz w:val="16"/>
          <w:szCs w:val="16"/>
          <w:color w:val="auto"/>
        </w:rPr>
        <w:t>See “Index to Financial Statement Schedules” set forth on page S-1.</w:t>
      </w:r>
    </w:p>
    <w:p>
      <w:pPr>
        <w:spacing w:after="0" w:line="200" w:lineRule="exact"/>
        <w:rPr>
          <w:rFonts w:ascii="Arial" w:cs="Arial" w:eastAsia="Arial" w:hAnsi="Arial"/>
          <w:sz w:val="18"/>
          <w:szCs w:val="18"/>
          <w:b w:val="1"/>
          <w:bCs w:val="1"/>
          <w:u w:val="single" w:color="auto"/>
          <w:color w:val="0000EE"/>
        </w:rPr>
      </w:pPr>
    </w:p>
    <w:p>
      <w:pPr>
        <w:spacing w:after="0" w:line="200" w:lineRule="exact"/>
        <w:rPr>
          <w:rFonts w:ascii="Arial" w:cs="Arial" w:eastAsia="Arial" w:hAnsi="Arial"/>
          <w:sz w:val="18"/>
          <w:szCs w:val="18"/>
          <w:b w:val="1"/>
          <w:bCs w:val="1"/>
          <w:u w:val="single" w:color="auto"/>
          <w:color w:val="0000EE"/>
        </w:rPr>
      </w:pPr>
    </w:p>
    <w:p>
      <w:pPr>
        <w:spacing w:after="0" w:line="200" w:lineRule="exact"/>
        <w:rPr>
          <w:rFonts w:ascii="Arial" w:cs="Arial" w:eastAsia="Arial" w:hAnsi="Arial"/>
          <w:sz w:val="18"/>
          <w:szCs w:val="18"/>
          <w:b w:val="1"/>
          <w:bCs w:val="1"/>
          <w:u w:val="single" w:color="auto"/>
          <w:color w:val="0000EE"/>
        </w:rPr>
      </w:pPr>
    </w:p>
    <w:p>
      <w:pPr>
        <w:spacing w:after="0" w:line="322" w:lineRule="exact"/>
        <w:rPr>
          <w:rFonts w:ascii="Arial" w:cs="Arial" w:eastAsia="Arial" w:hAnsi="Arial"/>
          <w:sz w:val="18"/>
          <w:szCs w:val="18"/>
          <w:b w:val="1"/>
          <w:bCs w:val="1"/>
          <w:u w:val="single" w:color="auto"/>
          <w:color w:val="0000EE"/>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exhibits listed below are furnished as part of this Annual Report on Form 10-K. Exhibits required by Item 601 of Regulation S-K of the Securities Act, which are not listed, are not applicable.</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772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7720" w:type="dxa"/>
            <w:vAlign w:val="bottom"/>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7720" w:type="dxa"/>
            <w:vAlign w:val="bottom"/>
            <w:tcBorders>
              <w:top w:val="single" w:sz="8" w:color="auto"/>
            </w:tcBorders>
            <w:gridSpan w:val="26"/>
          </w:tcPr>
          <w:p>
            <w:pPr>
              <w:spacing w:after="0" w:line="169"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Certificate of Limited Partnership of Ferrellgas Partners, L.P. Incorporated by reference to Exhibit 3.1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our Annual Report on Form 10-K filed September 29, 2015.</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 w:type="dxa"/>
            <w:vAlign w:val="bottom"/>
          </w:tcPr>
          <w:p>
            <w:pPr>
              <w:ind w:left="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520" w:type="dxa"/>
            <w:vAlign w:val="bottom"/>
            <w:tcBorders>
              <w:bottom w:val="single" w:sz="8" w:color="0000EE"/>
            </w:tcBorders>
            <w:gridSpan w:val="20"/>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Fifth Amended and Restated Agreement of Limited Partnership of Ferrellgas Partners, L.P. Incorporated</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26"/>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by reference to Exhibit 3.14 to our Quarterly Report on Form 10-Q filed June 7, 2018.</w:t>
              </w:r>
            </w:hyperlink>
          </w:p>
        </w:tc>
        <w:tc>
          <w:tcPr>
            <w:tcW w:w="0" w:type="dxa"/>
            <w:vAlign w:val="bottom"/>
          </w:tcPr>
          <w:p>
            <w:pPr>
              <w:spacing w:after="0"/>
              <w:rPr>
                <w:sz w:val="1"/>
                <w:szCs w:val="1"/>
                <w:color w:val="auto"/>
              </w:rPr>
            </w:pPr>
          </w:p>
        </w:tc>
      </w:tr>
      <w:tr>
        <w:trPr>
          <w:trHeight w:val="405"/>
        </w:trPr>
        <w:tc>
          <w:tcPr>
            <w:tcW w:w="700" w:type="dxa"/>
            <w:vAlign w:val="bottom"/>
          </w:tcPr>
          <w:p>
            <w:pPr>
              <w:ind w:left="4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8"/>
              </w:rPr>
            </w:pPr>
            <w:hyperlink r:id="rId123">
              <w:r>
                <w:rPr>
                  <w:rFonts w:ascii="Arial" w:cs="Arial" w:eastAsia="Arial" w:hAnsi="Arial"/>
                  <w:sz w:val="18"/>
                  <w:szCs w:val="18"/>
                  <w:color w:val="0000EE"/>
                  <w:w w:val="98"/>
                </w:rPr>
                <w:t>Certificate of Incorporation of Ferrellgas Partners Finance Corp. filed with the Delaware Division of</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Corporations on March 28, 1996. Incorporated by reference to Exhibit 3.6 to our registration statement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Form S-3 filed March 6, 2009.</w:t>
              </w:r>
            </w:hyperlink>
          </w:p>
        </w:tc>
        <w:tc>
          <w:tcPr>
            <w:tcW w:w="55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700" w:type="dxa"/>
            <w:vAlign w:val="bottom"/>
          </w:tcPr>
          <w:p>
            <w:pPr>
              <w:ind w:left="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7360" w:type="dxa"/>
            <w:vAlign w:val="bottom"/>
            <w:tcBorders>
              <w:bottom w:val="single" w:sz="8" w:color="0000EE"/>
            </w:tcBorders>
            <w:gridSpan w:val="14"/>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Bylaws of Ferrellgas Partners Finance Corp. adopted as of April 1, 1996. Incorporated by reference to</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Exhibit 3.7 to our registration statement on Form S-3 filed March 6, 2009.</w:t>
              </w:r>
            </w:hyperlink>
          </w:p>
        </w:tc>
        <w:tc>
          <w:tcPr>
            <w:tcW w:w="23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0" w:type="dxa"/>
            <w:vAlign w:val="bottom"/>
          </w:tcPr>
          <w:p>
            <w:pPr>
              <w:ind w:left="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7180" w:type="dxa"/>
            <w:vAlign w:val="bottom"/>
            <w:tcBorders>
              <w:bottom w:val="single" w:sz="8" w:color="0000EE"/>
            </w:tcBorders>
            <w:gridSpan w:val="12"/>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Certificate of Limited Partnership of Ferrellgas, L.P. Incorporated by reference to Exhibit 3.9 to our</w:t>
              </w:r>
            </w:hyperlink>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Annual Report on Form 10-K filed September 29, 2015.</w:t>
              </w:r>
            </w:hyperlink>
          </w:p>
        </w:tc>
        <w:tc>
          <w:tcPr>
            <w:tcW w:w="36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0" w:type="dxa"/>
            <w:vAlign w:val="bottom"/>
          </w:tcPr>
          <w:p>
            <w:pPr>
              <w:ind w:left="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7400" w:type="dxa"/>
            <w:vAlign w:val="bottom"/>
            <w:tcBorders>
              <w:bottom w:val="single" w:sz="8" w:color="0000EE"/>
            </w:tcBorders>
            <w:gridSpan w:val="15"/>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Third Amended and Restated Agreement of Limited Partnership of Ferrellgas, L.P. dated as of April 7,</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2004. Incorporated by reference to Exhibit 3.5 to our registration statement on Form S-3 filed March 6,</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2009.</w:t>
              </w:r>
            </w:hyperlink>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700" w:type="dxa"/>
            <w:vAlign w:val="bottom"/>
          </w:tcPr>
          <w:p>
            <w:pPr>
              <w:ind w:left="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7620" w:type="dxa"/>
            <w:vAlign w:val="bottom"/>
            <w:tcBorders>
              <w:bottom w:val="single" w:sz="8" w:color="0000EE"/>
            </w:tcBorders>
            <w:gridSpan w:val="22"/>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Fourth Amended and Restated Agreement of Limited Partnership of Ferrellgas, L.P., dated as of April 24,</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26"/>
          </w:tcPr>
          <w:p>
            <w:pPr>
              <w:spacing w:after="0"/>
              <w:rPr>
                <w:rFonts w:ascii="Arial" w:cs="Arial" w:eastAsia="Arial" w:hAnsi="Arial"/>
                <w:sz w:val="18"/>
                <w:szCs w:val="18"/>
                <w:u w:val="single" w:color="auto"/>
                <w:color w:val="0000EE"/>
                <w:w w:val="92"/>
              </w:rPr>
            </w:pPr>
            <w:hyperlink r:id="rId127">
              <w:r>
                <w:rPr>
                  <w:rFonts w:ascii="Arial" w:cs="Arial" w:eastAsia="Arial" w:hAnsi="Arial"/>
                  <w:sz w:val="18"/>
                  <w:szCs w:val="18"/>
                  <w:u w:val="single" w:color="auto"/>
                  <w:color w:val="0000EE"/>
                  <w:w w:val="92"/>
                </w:rPr>
                <w:t>2020. Incorporated by reference to Exhibit 3.1 of our Current Report on Form 8-K filed on April 27, 2020.</w:t>
              </w:r>
            </w:hyperlink>
          </w:p>
        </w:tc>
        <w:tc>
          <w:tcPr>
            <w:tcW w:w="0" w:type="dxa"/>
            <w:vAlign w:val="bottom"/>
          </w:tcPr>
          <w:p>
            <w:pPr>
              <w:spacing w:after="0"/>
              <w:rPr>
                <w:sz w:val="1"/>
                <w:szCs w:val="1"/>
                <w:color w:val="auto"/>
              </w:rPr>
            </w:pPr>
          </w:p>
        </w:tc>
      </w:tr>
      <w:tr>
        <w:trPr>
          <w:trHeight w:val="405"/>
        </w:trPr>
        <w:tc>
          <w:tcPr>
            <w:tcW w:w="700" w:type="dxa"/>
            <w:vAlign w:val="bottom"/>
          </w:tcPr>
          <w:p>
            <w:pPr>
              <w:ind w:left="4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7600" w:type="dxa"/>
            <w:vAlign w:val="bottom"/>
            <w:tcBorders>
              <w:bottom w:val="single" w:sz="8" w:color="0000EE"/>
            </w:tcBorders>
            <w:gridSpan w:val="21"/>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Certificate of Incorporation of Ferrellgas Finance Corp. filed with the Delaware Division of Corporations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on January 16, 2003. Incorporated by reference to Exhibit 3.8 to our registration statement on Form S-3</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filed March 6, 2009.</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ind w:left="4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Bylaws of Ferrellgas Finance Corp. adopted as of January 16, 2003.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Exhibit 3.9 to our registration statement on Form S-3 filed March 6, 2009.</w:t>
              </w:r>
            </w:hyperlink>
          </w:p>
        </w:tc>
        <w:tc>
          <w:tcPr>
            <w:tcW w:w="1620" w:type="dxa"/>
            <w:vAlign w:val="bottom"/>
            <w:tcBorders>
              <w:top w:val="single" w:sz="8" w:color="0000EE"/>
            </w:tcBorders>
            <w:gridSpan w:val="2"/>
          </w:tcPr>
          <w:p>
            <w:pPr>
              <w:spacing w:after="0"/>
              <w:rPr>
                <w:sz w:val="17"/>
                <w:szCs w:val="17"/>
                <w:color w:val="auto"/>
              </w:rPr>
            </w:pPr>
          </w:p>
        </w:tc>
        <w:tc>
          <w:tcPr>
            <w:tcW w:w="7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Pr>
          <w:p>
            <w:pPr>
              <w:ind w:left="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3"/>
              </w:rPr>
            </w:pPr>
            <w:hyperlink r:id="rId130">
              <w:r>
                <w:rPr>
                  <w:rFonts w:ascii="Arial" w:cs="Arial" w:eastAsia="Arial" w:hAnsi="Arial"/>
                  <w:sz w:val="18"/>
                  <w:szCs w:val="18"/>
                  <w:color w:val="0000EE"/>
                  <w:w w:val="93"/>
                </w:rPr>
                <w:t>Specimen Certificate evidencing Common Units representing Limited Partner Interests. Incorporated by</w:t>
              </w:r>
            </w:hyperlink>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00" w:type="dxa"/>
            <w:vAlign w:val="bottom"/>
            <w:tcBorders>
              <w:top w:val="single" w:sz="8" w:color="0000EE"/>
            </w:tcBorders>
            <w:gridSpan w:val="19"/>
          </w:tcPr>
          <w:p>
            <w:pPr>
              <w:spacing w:after="0"/>
              <w:rPr>
                <w:rFonts w:ascii="Arial" w:cs="Arial" w:eastAsia="Arial" w:hAnsi="Arial"/>
                <w:sz w:val="18"/>
                <w:szCs w:val="18"/>
                <w:u w:val="single" w:color="auto"/>
                <w:color w:val="0000EE"/>
                <w:w w:val="96"/>
              </w:rPr>
            </w:pPr>
            <w:hyperlink r:id="rId130">
              <w:r>
                <w:rPr>
                  <w:rFonts w:ascii="Arial" w:cs="Arial" w:eastAsia="Arial" w:hAnsi="Arial"/>
                  <w:sz w:val="18"/>
                  <w:szCs w:val="18"/>
                  <w:u w:val="single" w:color="auto"/>
                  <w:color w:val="0000EE"/>
                  <w:w w:val="96"/>
                </w:rPr>
                <w:t>reference to Exhibit A of Exhibit 3.1 to our registration statement on Form S-3 filed March 6, 2009.</w:t>
              </w:r>
            </w:hyperlink>
          </w:p>
        </w:tc>
        <w:tc>
          <w:tcPr>
            <w:tcW w:w="2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ind w:left="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240" w:type="dxa"/>
            <w:vAlign w:val="bottom"/>
            <w:tcBorders>
              <w:bottom w:val="single" w:sz="8" w:color="0000EE"/>
            </w:tcBorders>
            <w:gridSpan w:val="13"/>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Indenture dated as of November 4, 2013 with form of Note attached, by and among Ferrellgas, L.P.,</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 xml:space="preserve">Ferrellgas Finance Corp. and U.S. Bank National Association, as trustee, relating to </w:t>
              </w:r>
              <w:r>
                <w:rPr>
                  <w:rFonts w:ascii="Arial" w:cs="Arial" w:eastAsia="Arial" w:hAnsi="Arial"/>
                  <w:sz w:val="18"/>
                  <w:szCs w:val="18"/>
                  <w:u w:val="single" w:color="auto"/>
                  <w:color w:val="0000EE"/>
                </w:rPr>
                <w:t>$</w:t>
              </w:r>
              <w:r>
                <w:rPr>
                  <w:rFonts w:ascii="Arial" w:cs="Arial" w:eastAsia="Arial" w:hAnsi="Arial"/>
                  <w:sz w:val="18"/>
                  <w:szCs w:val="18"/>
                  <w:color w:val="0000EE"/>
                </w:rPr>
                <w:t>475 million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6"/>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aggregate amount of the Registrant’s 6 3/4% Senior Notes due 2022. Incorporated by reference to</w:t>
              </w:r>
            </w:hyperlink>
          </w:p>
        </w:tc>
        <w:tc>
          <w:tcPr>
            <w:tcW w:w="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Exhibit 4.1 to our Current Report on Form 8-K filed November 5, 2013.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6"/>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ind w:left="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7480" w:type="dxa"/>
            <w:vAlign w:val="bottom"/>
            <w:tcBorders>
              <w:bottom w:val="single" w:sz="8" w:color="0000EE"/>
            </w:tcBorders>
            <w:gridSpan w:val="18"/>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Indenture dated as of April 13, 2010, among Ferrellgas Partners, L.P., Ferrellgas Partners Finance Corp.</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 xml:space="preserve">and U.S. Bank National Association, as trustee, relating to </w:t>
              </w:r>
              <w:r>
                <w:rPr>
                  <w:rFonts w:ascii="Arial" w:cs="Arial" w:eastAsia="Arial" w:hAnsi="Arial"/>
                  <w:sz w:val="18"/>
                  <w:szCs w:val="18"/>
                  <w:u w:val="single" w:color="auto"/>
                  <w:color w:val="0000EE"/>
                </w:rPr>
                <w:t>$</w:t>
              </w:r>
              <w:r>
                <w:rPr>
                  <w:rFonts w:ascii="Arial" w:cs="Arial" w:eastAsia="Arial" w:hAnsi="Arial"/>
                  <w:sz w:val="18"/>
                  <w:szCs w:val="18"/>
                  <w:color w:val="0000EE"/>
                </w:rPr>
                <w:t>280 million aggregate amount of the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Registrant’s 8 5/8% Senior Notes due 2020. Incorporated by reference to Exhibit 4.1 to our Current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26"/>
          </w:tcPr>
          <w:p>
            <w:pPr>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on Form 8-K filed April 13, 2010; File No. 001-11331; 000-50182; 000-50183 and 333-06693.</w:t>
              </w:r>
            </w:hyperlink>
          </w:p>
        </w:tc>
        <w:tc>
          <w:tcPr>
            <w:tcW w:w="0" w:type="dxa"/>
            <w:vAlign w:val="bottom"/>
          </w:tcPr>
          <w:p>
            <w:pPr>
              <w:spacing w:after="0"/>
              <w:rPr>
                <w:sz w:val="1"/>
                <w:szCs w:val="1"/>
                <w:color w:val="auto"/>
              </w:rPr>
            </w:pPr>
          </w:p>
        </w:tc>
      </w:tr>
      <w:tr>
        <w:trPr>
          <w:trHeight w:val="391"/>
        </w:trPr>
        <w:tc>
          <w:tcPr>
            <w:tcW w:w="700" w:type="dxa"/>
            <w:vAlign w:val="bottom"/>
          </w:tcPr>
          <w:p>
            <w:pPr>
              <w:ind w:left="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7180" w:type="dxa"/>
            <w:vAlign w:val="bottom"/>
            <w:tcBorders>
              <w:bottom w:val="single" w:sz="8" w:color="0000EE"/>
            </w:tcBorders>
            <w:gridSpan w:val="12"/>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First Supplemental Indenture dated as of April 13, 2010, with form of Note attached, by and among</w:t>
              </w:r>
            </w:hyperlink>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Ferrellgas Partners, L.P., Ferrellgas Partners Finance Corp. and U.S. Bank National Association, as trustee,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 xml:space="preserve">relating to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280 million aggregate amount of the Registrant’s 8 5/8% Senior Notes due 2020.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60" w:type="dxa"/>
            <w:vAlign w:val="bottom"/>
            <w:tcBorders>
              <w:top w:val="single" w:sz="8" w:color="0000EE"/>
            </w:tcBorders>
            <w:gridSpan w:val="24"/>
          </w:tcPr>
          <w:p>
            <w:pPr>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by reference to Exhibit 4.2 to our Current Report on Form 8-K filed April 13, 2010; File</w:t>
              </w:r>
            </w:hyperlink>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No. 001-11331; 000-50182; 000-50183 and 333-06693.</w:t>
        </w:r>
      </w:hyperlink>
    </w:p>
    <w:p>
      <w:pPr>
        <w:spacing w:after="0" w:line="225" w:lineRule="exact"/>
        <w:rPr>
          <w:sz w:val="20"/>
          <w:szCs w:val="20"/>
          <w:color w:val="auto"/>
        </w:rPr>
      </w:pPr>
    </w:p>
    <w:p>
      <w:pPr>
        <w:ind w:left="1120" w:right="979" w:hanging="782"/>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35">
        <w:r>
          <w:rPr>
            <w:rFonts w:ascii="Arial" w:cs="Arial" w:eastAsia="Arial" w:hAnsi="Arial"/>
            <w:sz w:val="18"/>
            <w:szCs w:val="18"/>
            <w:u w:val="single" w:color="auto"/>
            <w:color w:val="0000EE"/>
          </w:rPr>
          <w:t>Second Supplemental Indenture dated as of January 30, 2017, by and among Ferrellgas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Partners, L.P., Ferrellgas Partners Finance Corp. and U.S. Bank National Association, as trustee.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Incorporated by reference to Exhibit 4.3 to our Current Report on Form 8-K filed January 30,</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2017.</w:t>
        </w:r>
      </w:hyperlink>
    </w:p>
    <w:p>
      <w:pPr>
        <w:spacing w:after="0" w:line="187" w:lineRule="exact"/>
        <w:rPr>
          <w:rFonts w:ascii="Arial" w:cs="Arial" w:eastAsia="Arial" w:hAnsi="Arial"/>
          <w:sz w:val="18"/>
          <w:szCs w:val="18"/>
          <w:u w:val="single" w:color="auto"/>
          <w:color w:val="0000EE"/>
        </w:rPr>
      </w:pPr>
    </w:p>
    <w:p>
      <w:pPr>
        <w:ind w:left="1120" w:right="959" w:hanging="782"/>
        <w:spacing w:after="0" w:line="25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36">
        <w:r>
          <w:rPr>
            <w:rFonts w:ascii="Arial" w:cs="Arial" w:eastAsia="Arial" w:hAnsi="Arial"/>
            <w:sz w:val="18"/>
            <w:szCs w:val="18"/>
            <w:u w:val="single" w:color="auto"/>
            <w:color w:val="0000EE"/>
          </w:rPr>
          <w:t>Indenture dated as of November 24, 2010, by and among Ferrellgas, L.P., Ferrellgas Finance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Corp. and U.S. Bank National Association, as trustee, relating to $500 million aggregate amount</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of the Registrant’s 6 1/2% Senior Notes due 2021. Incorporated by reference to Exhibit 4.1 to</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our Current Report on Form 8-K filed November 30, 2010; File No. 001-11331; 000-50182;</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000-50183 and 333-06693.</w:t>
        </w:r>
      </w:hyperlink>
    </w:p>
    <w:p>
      <w:pPr>
        <w:spacing w:after="0" w:line="188" w:lineRule="exact"/>
        <w:rPr>
          <w:rFonts w:ascii="Arial" w:cs="Arial" w:eastAsia="Arial" w:hAnsi="Arial"/>
          <w:sz w:val="18"/>
          <w:szCs w:val="18"/>
          <w:u w:val="single" w:color="auto"/>
          <w:color w:val="0000EE"/>
        </w:rPr>
      </w:pPr>
    </w:p>
    <w:p>
      <w:pPr>
        <w:ind w:left="1120" w:right="1019" w:hanging="782"/>
        <w:spacing w:after="0" w:line="30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37">
        <w:r>
          <w:rPr>
            <w:rFonts w:ascii="Arial" w:cs="Arial" w:eastAsia="Arial" w:hAnsi="Arial"/>
            <w:sz w:val="16"/>
            <w:szCs w:val="16"/>
            <w:u w:val="single" w:color="auto"/>
            <w:color w:val="0000EE"/>
          </w:rPr>
          <w:t>Indenture, dated June 8, 2015, by and among Ferrellgas, L.P., Ferrellgas, Finance Corp. the</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subsidiary guarantors party thereto, and U.S. Bank National Association, as trustee, relating to</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$500 million aggregate amount of the Registrant’s 6 3/4% Senior Notes due 2023. Incorporated</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by reference to Exhibit 4.1 to our Current Report on Form 8-K filed June 8, 2015.</w:t>
        </w:r>
      </w:hyperlink>
    </w:p>
    <w:p>
      <w:pPr>
        <w:spacing w:after="0" w:line="157" w:lineRule="exact"/>
        <w:rPr>
          <w:rFonts w:ascii="Arial" w:cs="Arial" w:eastAsia="Arial" w:hAnsi="Arial"/>
          <w:sz w:val="16"/>
          <w:szCs w:val="16"/>
          <w:u w:val="single" w:color="auto"/>
          <w:color w:val="0000EE"/>
        </w:rPr>
      </w:pPr>
    </w:p>
    <w:p>
      <w:pPr>
        <w:ind w:left="1120" w:right="1019" w:hanging="782"/>
        <w:spacing w:after="0" w:line="2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38">
        <w:r>
          <w:rPr>
            <w:rFonts w:ascii="Arial" w:cs="Arial" w:eastAsia="Arial" w:hAnsi="Arial"/>
            <w:sz w:val="16"/>
            <w:szCs w:val="16"/>
            <w:u w:val="single" w:color="auto"/>
            <w:color w:val="0000EE"/>
          </w:rPr>
          <w:t>Indenture, dated as of April 16, 2020, by and among Ferrellgas, L.P., Ferrellgas Finance Corp.,</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Ferrellgas Partners, L.P., Ferrellgas, Inc., the subsidiary guarantors party thereto and Delaware</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Trust Company, as trustee and collateral agent, relating to $700 million aggregate principal</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amount of 10% Senior Secured First Lien Notes due 2025. Incorporated by reference to Exhibit</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4.1 to our Current Report on Form 8-K filed April 17, 2020.</w:t>
        </w:r>
      </w:hyperlink>
    </w:p>
    <w:p>
      <w:pPr>
        <w:spacing w:after="0" w:line="161" w:lineRule="exact"/>
        <w:rPr>
          <w:rFonts w:ascii="Arial" w:cs="Arial" w:eastAsia="Arial" w:hAnsi="Arial"/>
          <w:sz w:val="16"/>
          <w:szCs w:val="16"/>
          <w:u w:val="single" w:color="auto"/>
          <w:color w:val="0000EE"/>
        </w:rPr>
      </w:pPr>
    </w:p>
    <w:p>
      <w:pPr>
        <w:ind w:left="1120" w:right="1079" w:hanging="1059"/>
        <w:spacing w:after="0" w:line="296" w:lineRule="auto"/>
        <w:tabs>
          <w:tab w:leader="none" w:pos="337" w:val="left"/>
        </w:tabs>
        <w:numPr>
          <w:ilvl w:val="0"/>
          <w:numId w:val="66"/>
        </w:numPr>
        <w:rPr>
          <w:rFonts w:ascii="Arial" w:cs="Arial" w:eastAsia="Arial" w:hAnsi="Arial"/>
          <w:sz w:val="16"/>
          <w:szCs w:val="16"/>
          <w:u w:val="single" w:color="auto"/>
          <w:color w:val="0000EE"/>
        </w:rPr>
      </w:pPr>
      <w:r>
        <w:rPr>
          <w:rFonts w:ascii="Arial" w:cs="Arial" w:eastAsia="Arial" w:hAnsi="Arial"/>
          <w:sz w:val="18"/>
          <w:szCs w:val="18"/>
          <w:color w:val="auto"/>
        </w:rPr>
        <w:t>10.1</w:t>
      </w:r>
      <w:hyperlink r:id="rId139">
        <w:r>
          <w:rPr>
            <w:rFonts w:ascii="Arial" w:cs="Arial" w:eastAsia="Arial" w:hAnsi="Arial"/>
            <w:sz w:val="16"/>
            <w:szCs w:val="16"/>
            <w:u w:val="single" w:color="auto"/>
            <w:color w:val="0000EE"/>
          </w:rPr>
          <w:t>Financing Agreement, dated as of May 4, 2018, among Ferrellgas, L.P., Ferrellgas, Inc., as the</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general partner of Ferrellgas, L.P., certain subsidiaries of Ferrellgas, L.P., as guarantors, the</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lenders party thereto, TPG Specialty Lending, Inc. as administrative agent, collateral agent and</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lead arranger, and PNC Bank, National Association, as syndication agent. Incorporated by</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reference to Exhibit 10.1 to our Current Report on Form 8-K filed September 7, 2018.</w:t>
        </w:r>
      </w:hyperlink>
    </w:p>
    <w:p>
      <w:pPr>
        <w:spacing w:after="0" w:line="161" w:lineRule="exact"/>
        <w:rPr>
          <w:rFonts w:ascii="Arial" w:cs="Arial" w:eastAsia="Arial" w:hAnsi="Arial"/>
          <w:sz w:val="16"/>
          <w:szCs w:val="16"/>
          <w:u w:val="single" w:color="auto"/>
          <w:color w:val="0000EE"/>
        </w:rPr>
      </w:pPr>
    </w:p>
    <w:p>
      <w:pPr>
        <w:ind w:left="1120" w:right="1039" w:hanging="782"/>
        <w:spacing w:after="0" w:line="30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40">
        <w:r>
          <w:rPr>
            <w:rFonts w:ascii="Arial" w:cs="Arial" w:eastAsia="Arial" w:hAnsi="Arial"/>
            <w:sz w:val="16"/>
            <w:szCs w:val="16"/>
            <w:u w:val="single" w:color="auto"/>
            <w:color w:val="0000EE"/>
          </w:rPr>
          <w:t>Amended and Restated Receivable Sale Agreement dated as of January 19, 2012, between</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Ferrellgas, L.P. and Blue Rhino Global Sourcing, Inc., as originators, and Ferrellgas</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Receivables, LLC, as buyer. Incorporated by reference to Exhibit 10.1 to our Current Report on</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Form 8-K filed January 20, 2012; File No. 001-11331; 000-50182; 000-50183 and 333-06693.</w:t>
        </w:r>
      </w:hyperlink>
    </w:p>
    <w:p>
      <w:pPr>
        <w:spacing w:after="0" w:line="157" w:lineRule="exact"/>
        <w:rPr>
          <w:rFonts w:ascii="Arial" w:cs="Arial" w:eastAsia="Arial" w:hAnsi="Arial"/>
          <w:sz w:val="16"/>
          <w:szCs w:val="16"/>
          <w:u w:val="single" w:color="auto"/>
          <w:color w:val="0000EE"/>
        </w:rPr>
      </w:pPr>
    </w:p>
    <w:p>
      <w:pPr>
        <w:ind w:left="1120" w:right="1079" w:hanging="782"/>
        <w:spacing w:after="0" w:line="2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41">
        <w:r>
          <w:rPr>
            <w:rFonts w:ascii="Arial" w:cs="Arial" w:eastAsia="Arial" w:hAnsi="Arial"/>
            <w:sz w:val="16"/>
            <w:szCs w:val="16"/>
            <w:u w:val="single" w:color="auto"/>
            <w:color w:val="0000EE"/>
          </w:rPr>
          <w:t>Receivables Purchase Agreement dated as of January 19, 2012, among Ferrellgas Receivables,</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LLC, as seller, Ferrellgas, L.P., as servicer, the purchasers from time to time party hereto, Fifth</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Third Bank and SunTrust Bank, as co-agents, and Wells Fargo Bank, N.A., as administrative</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agent. Incorporated by reference to Exhibit 10.2 to our Current Report on Form 8-K filed</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January 20, 2012; File No. 001-11331; 000-50182; 000-50183 and 333-06693.</w:t>
        </w:r>
      </w:hyperlink>
    </w:p>
    <w:p>
      <w:pPr>
        <w:spacing w:after="0" w:line="161" w:lineRule="exact"/>
        <w:rPr>
          <w:rFonts w:ascii="Arial" w:cs="Arial" w:eastAsia="Arial" w:hAnsi="Arial"/>
          <w:sz w:val="16"/>
          <w:szCs w:val="16"/>
          <w:u w:val="single" w:color="auto"/>
          <w:color w:val="0000EE"/>
        </w:rPr>
      </w:pPr>
    </w:p>
    <w:p>
      <w:pPr>
        <w:ind w:left="1120" w:right="999" w:hanging="782"/>
        <w:spacing w:after="0" w:line="2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42">
        <w:r>
          <w:rPr>
            <w:rFonts w:ascii="Arial" w:cs="Arial" w:eastAsia="Arial" w:hAnsi="Arial"/>
            <w:sz w:val="16"/>
            <w:szCs w:val="16"/>
            <w:u w:val="single" w:color="auto"/>
            <w:color w:val="0000EE"/>
          </w:rPr>
          <w:t>First Amendment to Receivables Purchase Agreement dated as of April 30, 2012, among</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Ferrellgas Receivables, LLC, as seller, Ferrellgas, L.P., as servicer, the purchasers from time to</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time party hereto, Fifth Third Bank and SunTrust Bank, as co-agents, and Wells Fargo Bank,</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N.A., as administrative agent. Incorporated by reference to Exhibit 10.5 to our Quarterly Report</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on Form 10-Q filed June 8, 2012; File No. 001-11331; 000-50182; 000-50183 and 333-06693.</w:t>
        </w:r>
      </w:hyperlink>
    </w:p>
    <w:p>
      <w:pPr>
        <w:spacing w:after="0" w:line="161" w:lineRule="exact"/>
        <w:rPr>
          <w:rFonts w:ascii="Arial" w:cs="Arial" w:eastAsia="Arial" w:hAnsi="Arial"/>
          <w:sz w:val="16"/>
          <w:szCs w:val="16"/>
          <w:u w:val="single" w:color="auto"/>
          <w:color w:val="0000EE"/>
        </w:rPr>
      </w:pPr>
    </w:p>
    <w:p>
      <w:pPr>
        <w:ind w:left="1120" w:right="1079" w:hanging="782"/>
        <w:spacing w:after="0" w:line="25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3">
        <w:r>
          <w:rPr>
            <w:rFonts w:ascii="Arial" w:cs="Arial" w:eastAsia="Arial" w:hAnsi="Arial"/>
            <w:sz w:val="18"/>
            <w:szCs w:val="18"/>
            <w:u w:val="single" w:color="auto"/>
            <w:color w:val="0000EE"/>
          </w:rPr>
          <w:t>Second Amendment to Receivables Purchase Agreement dated as of April 1, 2014, among</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Ferrellgas Receivables, LLC, as seller, Ferrellgas, L.P., as servicer, the purchasers from time to</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time party hereto, Fifth Third Bank and SunTrust Bank, as co-agents, and Wells Fargo Bank,</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N.A., as administrative agent. Incorporated by reference to Exhibit 10.1 to our Current Report</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on Form 8-K filed April 4, 2014.</w:t>
        </w:r>
      </w:hyperlink>
    </w:p>
    <w:p>
      <w:pPr>
        <w:spacing w:after="0" w:line="188" w:lineRule="exact"/>
        <w:rPr>
          <w:rFonts w:ascii="Arial" w:cs="Arial" w:eastAsia="Arial" w:hAnsi="Arial"/>
          <w:sz w:val="18"/>
          <w:szCs w:val="18"/>
          <w:u w:val="single" w:color="auto"/>
          <w:color w:val="0000EE"/>
        </w:rPr>
      </w:pPr>
    </w:p>
    <w:p>
      <w:pPr>
        <w:ind w:left="1120" w:right="1079" w:hanging="782"/>
        <w:spacing w:after="0" w:line="259"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4">
        <w:r>
          <w:rPr>
            <w:rFonts w:ascii="Arial" w:cs="Arial" w:eastAsia="Arial" w:hAnsi="Arial"/>
            <w:sz w:val="18"/>
            <w:szCs w:val="18"/>
            <w:u w:val="single" w:color="auto"/>
            <w:color w:val="0000EE"/>
          </w:rPr>
          <w:t>Third Amendment to Receivables Purchase Agreement dated as of July 27, 2016, among</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Ferrellgas Receivables, LLC, as seller, Ferrellgas, L.P., as servicer, the purchasers from time to</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time party hereto, Fifth Third Bank and SunTrust Bank, as co-agents, and Wells Fargo Bank,</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N.A., as administrative</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3"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E-3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1499"/>
        <w:spacing w:after="0" w:line="277" w:lineRule="auto"/>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agent. Incorporated by reference to Exhibit 10.1 to our Current Report on Form 8-K filed</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July 27, 2016.</w:t>
        </w:r>
      </w:hyperlink>
    </w:p>
    <w:p>
      <w:pPr>
        <w:spacing w:after="0" w:line="170" w:lineRule="exact"/>
        <w:rPr>
          <w:sz w:val="20"/>
          <w:szCs w:val="20"/>
          <w:color w:val="auto"/>
        </w:rPr>
      </w:pPr>
    </w:p>
    <w:p>
      <w:pPr>
        <w:ind w:left="1100" w:right="979" w:hanging="769"/>
        <w:spacing w:after="0" w:line="275"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46">
        <w:r>
          <w:rPr>
            <w:rFonts w:ascii="Arial" w:cs="Arial" w:eastAsia="Arial" w:hAnsi="Arial"/>
            <w:sz w:val="17"/>
            <w:szCs w:val="17"/>
            <w:u w:val="single" w:color="auto"/>
            <w:color w:val="0000EE"/>
          </w:rPr>
          <w:t>Fourth Amendment to Receivables Purchase Agreement dated as of September 27, 2016, among</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Ferrellgas Receivables, LLC, as seller, Ferrellgas, L.P., as servicer, the purchasers from time to</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time party hereto, Fifth Third Bank and SunTrust Bank, as co-agents, and Wells Fargo Bank,</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N.A., as administrative agent. Incorporated by reference to Exhibit 10.38 to our Current Report</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on Form 10-K filed September 28, 2016.</w:t>
        </w:r>
      </w:hyperlink>
    </w:p>
    <w:p>
      <w:pPr>
        <w:spacing w:after="0" w:line="176" w:lineRule="exact"/>
        <w:rPr>
          <w:rFonts w:ascii="Arial" w:cs="Arial" w:eastAsia="Arial" w:hAnsi="Arial"/>
          <w:sz w:val="17"/>
          <w:szCs w:val="17"/>
          <w:u w:val="single" w:color="auto"/>
          <w:color w:val="0000EE"/>
        </w:rPr>
      </w:pPr>
    </w:p>
    <w:p>
      <w:pPr>
        <w:ind w:left="1100" w:right="1099" w:hanging="769"/>
        <w:spacing w:after="0" w:line="25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47">
        <w:r>
          <w:rPr>
            <w:rFonts w:ascii="Arial" w:cs="Arial" w:eastAsia="Arial" w:hAnsi="Arial"/>
            <w:sz w:val="18"/>
            <w:szCs w:val="18"/>
            <w:u w:val="single" w:color="auto"/>
            <w:color w:val="0000EE"/>
          </w:rPr>
          <w:t>Amendment No. 5 to Receivables Purchase Agreement dated as of April 28, 2017, among</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Ferrellgas Receivables, LLC, as seller, Ferrellgas, L.P., as servicer, the purchasers from time to</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time party hereto, Fifth Third Bank and SunTrust Bank, as co-agents, and Wells Fargo Bank,</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N.A., as administrative agent. Incorporated by reference to Exhibit 10.2 to our Current Report</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on Form 8-K filed May 2, 2017.</w:t>
        </w:r>
      </w:hyperlink>
    </w:p>
    <w:p>
      <w:pPr>
        <w:spacing w:after="0" w:line="188" w:lineRule="exact"/>
        <w:rPr>
          <w:rFonts w:ascii="Arial" w:cs="Arial" w:eastAsia="Arial" w:hAnsi="Arial"/>
          <w:sz w:val="18"/>
          <w:szCs w:val="18"/>
          <w:u w:val="single" w:color="auto"/>
          <w:color w:val="0000EE"/>
        </w:rPr>
      </w:pPr>
    </w:p>
    <w:p>
      <w:pPr>
        <w:ind w:left="1100" w:right="979" w:hanging="1039"/>
        <w:spacing w:after="0" w:line="257" w:lineRule="auto"/>
        <w:tabs>
          <w:tab w:leader="none" w:pos="330" w:val="left"/>
        </w:tabs>
        <w:numPr>
          <w:ilvl w:val="0"/>
          <w:numId w:val="67"/>
        </w:numPr>
        <w:rPr>
          <w:rFonts w:ascii="Arial" w:cs="Arial" w:eastAsia="Arial" w:hAnsi="Arial"/>
          <w:sz w:val="18"/>
          <w:szCs w:val="18"/>
          <w:u w:val="single" w:color="auto"/>
          <w:color w:val="0000EE"/>
        </w:rPr>
      </w:pPr>
      <w:r>
        <w:rPr>
          <w:rFonts w:ascii="Arial" w:cs="Arial" w:eastAsia="Arial" w:hAnsi="Arial"/>
          <w:sz w:val="18"/>
          <w:szCs w:val="18"/>
          <w:color w:val="auto"/>
        </w:rPr>
        <w:t>10.9</w:t>
      </w:r>
      <w:hyperlink r:id="rId148">
        <w:r>
          <w:rPr>
            <w:rFonts w:ascii="Arial" w:cs="Arial" w:eastAsia="Arial" w:hAnsi="Arial"/>
            <w:sz w:val="18"/>
            <w:szCs w:val="18"/>
            <w:u w:val="single" w:color="auto"/>
            <w:color w:val="0000EE"/>
          </w:rPr>
          <w:t>Amendment No. 7 to Receivables Purchase Agreement, dated as of May 14, 2018, among</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Ferrellgas Receivables, LLC, as seller, Ferrellgas, L.P., as servicer, the purchasers party thereto,</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Fifth Third Bank and PNC Bank, National Association, as co-agents, and Wells Fargo Bank,</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N.A. as administrative agent. Incorporated by reference to Exhibit 10.2 to our Current Report on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Form 8-K filed September 7, 2018.</w:t>
        </w:r>
      </w:hyperlink>
    </w:p>
    <w:p>
      <w:pPr>
        <w:spacing w:after="0" w:line="188" w:lineRule="exact"/>
        <w:rPr>
          <w:rFonts w:ascii="Arial" w:cs="Arial" w:eastAsia="Arial" w:hAnsi="Arial"/>
          <w:sz w:val="18"/>
          <w:szCs w:val="18"/>
          <w:u w:val="single" w:color="auto"/>
          <w:color w:val="0000EE"/>
        </w:rPr>
      </w:pPr>
    </w:p>
    <w:p>
      <w:pPr>
        <w:ind w:left="1080" w:right="1139" w:hanging="749"/>
        <w:spacing w:after="0" w:line="25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49">
        <w:r>
          <w:rPr>
            <w:rFonts w:ascii="Arial" w:cs="Arial" w:eastAsia="Arial" w:hAnsi="Arial"/>
            <w:sz w:val="18"/>
            <w:szCs w:val="18"/>
            <w:u w:val="single" w:color="auto"/>
            <w:color w:val="0000EE"/>
          </w:rPr>
          <w:t>Amendment No. 8 to Receivables Purchase Agreement, dated as of December 5, 2019, among</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Ferrellgas Receivables, LLC, as seller, Ferrellgas, L.P., as servicer, Fifth Third Bank and PNC</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Bank, National Association, as co-agents and purchasers, and Wells Fargo Bank, N.A. as</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administrative agent. Incorporated by reference to Exhibit 10.17 to our Quarterly Report on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Form 10-Q filed December 6, 2019.</w:t>
        </w:r>
      </w:hyperlink>
    </w:p>
    <w:p>
      <w:pPr>
        <w:spacing w:after="0" w:line="188" w:lineRule="exact"/>
        <w:rPr>
          <w:rFonts w:ascii="Arial" w:cs="Arial" w:eastAsia="Arial" w:hAnsi="Arial"/>
          <w:sz w:val="18"/>
          <w:szCs w:val="18"/>
          <w:u w:val="single" w:color="auto"/>
          <w:color w:val="0000EE"/>
        </w:rPr>
      </w:pPr>
    </w:p>
    <w:p>
      <w:pPr>
        <w:ind w:left="1080" w:right="999" w:hanging="749"/>
        <w:spacing w:after="0" w:line="25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50">
        <w:r>
          <w:rPr>
            <w:rFonts w:ascii="Arial" w:cs="Arial" w:eastAsia="Arial" w:hAnsi="Arial"/>
            <w:sz w:val="18"/>
            <w:szCs w:val="18"/>
            <w:u w:val="single" w:color="auto"/>
            <w:color w:val="0000EE"/>
          </w:rPr>
          <w:t>Amendment No. 9 to Receivables Purchase Agreement, dated as of April 10, 2020, among</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Ferrellgas Receivables, LLC, as seller, Ferrellgas, L.P., as servicer, Fifth Third Bank and PNC</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Bank, National Association, as co-agents and purchasers, and Wells Fargo Bank, N.A. as</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administrative agent. Incorporated by reference to Exhibit 10.1 to our Quarterly Report on Form</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8-K filed April 13, 2020.</w:t>
        </w:r>
      </w:hyperlink>
    </w:p>
    <w:p>
      <w:pPr>
        <w:spacing w:after="0" w:line="188" w:lineRule="exact"/>
        <w:rPr>
          <w:rFonts w:ascii="Arial" w:cs="Arial" w:eastAsia="Arial" w:hAnsi="Arial"/>
          <w:sz w:val="18"/>
          <w:szCs w:val="18"/>
          <w:u w:val="single" w:color="auto"/>
          <w:color w:val="0000EE"/>
        </w:rPr>
      </w:pPr>
    </w:p>
    <w:p>
      <w:pPr>
        <w:ind w:left="1100" w:right="1119" w:hanging="860"/>
        <w:spacing w:after="0" w:line="311" w:lineRule="auto"/>
        <w:tabs>
          <w:tab w:leader="none" w:pos="330" w:val="left"/>
        </w:tabs>
        <w:numPr>
          <w:ilvl w:val="0"/>
          <w:numId w:val="68"/>
        </w:numPr>
        <w:rPr>
          <w:rFonts w:ascii="Arial" w:cs="Arial" w:eastAsia="Arial" w:hAnsi="Arial"/>
          <w:sz w:val="16"/>
          <w:szCs w:val="16"/>
          <w:color w:val="0000EE"/>
        </w:rPr>
      </w:pPr>
      <w:r>
        <w:rPr>
          <w:rFonts w:ascii="Arial" w:cs="Arial" w:eastAsia="Arial" w:hAnsi="Arial"/>
          <w:sz w:val="18"/>
          <w:szCs w:val="18"/>
          <w:color w:val="auto"/>
        </w:rPr>
        <w:t>10.12</w:t>
      </w:r>
      <w:hyperlink r:id="rId151">
        <w:r>
          <w:rPr>
            <w:rFonts w:ascii="Arial" w:cs="Arial" w:eastAsia="Arial" w:hAnsi="Arial"/>
            <w:sz w:val="16"/>
            <w:szCs w:val="16"/>
            <w:u w:val="single" w:color="auto"/>
            <w:color w:val="0000EE"/>
          </w:rPr>
          <w:t>Ferrell Companies, Inc. Supplemental Savings Plan, as amended and restated effective</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January 1, 2010. Incorporated by reference to Exhibit 10.14 to our Quarterly Report on</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Form 10-Q filed March 10, 2010; File No. 001-11331; 000-50182; 000-50183 and 333-06693</w:t>
        </w:r>
      </w:hyperlink>
      <w:r>
        <w:rPr>
          <w:rFonts w:ascii="Arial" w:cs="Arial" w:eastAsia="Arial" w:hAnsi="Arial"/>
          <w:sz w:val="16"/>
          <w:szCs w:val="16"/>
          <w:color w:val="000000"/>
        </w:rPr>
        <w:t>.</w:t>
      </w:r>
    </w:p>
    <w:p>
      <w:pPr>
        <w:spacing w:after="0" w:line="148" w:lineRule="exact"/>
        <w:rPr>
          <w:rFonts w:ascii="Arial" w:cs="Arial" w:eastAsia="Arial" w:hAnsi="Arial"/>
          <w:sz w:val="16"/>
          <w:szCs w:val="16"/>
          <w:color w:val="0000EE"/>
        </w:rPr>
      </w:pPr>
    </w:p>
    <w:p>
      <w:pPr>
        <w:ind w:left="1100" w:right="1079" w:hanging="860"/>
        <w:spacing w:after="0" w:line="263" w:lineRule="auto"/>
        <w:tabs>
          <w:tab w:leader="none" w:pos="330" w:val="left"/>
        </w:tabs>
        <w:numPr>
          <w:ilvl w:val="0"/>
          <w:numId w:val="68"/>
        </w:numPr>
        <w:rPr>
          <w:rFonts w:ascii="Arial" w:cs="Arial" w:eastAsia="Arial" w:hAnsi="Arial"/>
          <w:sz w:val="18"/>
          <w:szCs w:val="18"/>
          <w:u w:val="single" w:color="auto"/>
          <w:color w:val="0000EE"/>
        </w:rPr>
      </w:pPr>
      <w:r>
        <w:rPr>
          <w:rFonts w:ascii="Arial" w:cs="Arial" w:eastAsia="Arial" w:hAnsi="Arial"/>
          <w:sz w:val="18"/>
          <w:szCs w:val="18"/>
          <w:color w:val="auto"/>
        </w:rPr>
        <w:t>10.13</w:t>
      </w:r>
      <w:hyperlink r:id="rId152">
        <w:r>
          <w:rPr>
            <w:rFonts w:ascii="Arial" w:cs="Arial" w:eastAsia="Arial" w:hAnsi="Arial"/>
            <w:sz w:val="18"/>
            <w:szCs w:val="18"/>
            <w:u w:val="single" w:color="auto"/>
            <w:color w:val="0000EE"/>
          </w:rPr>
          <w:t>Ferrell Companies, Inc. 1998 Incentive Compensation Plan, as amended and restated effective</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October 11, 2004. Incorporated by reference to Exhibit 10.9 to our Annual Report on Form 10-</w:t>
        </w:r>
      </w:hyperlink>
      <w:hyperlink r:id="rId152">
        <w:r>
          <w:rPr>
            <w:rFonts w:ascii="Arial" w:cs="Arial" w:eastAsia="Arial" w:hAnsi="Arial"/>
            <w:sz w:val="18"/>
            <w:szCs w:val="18"/>
            <w:u w:val="single" w:color="auto"/>
            <w:color w:val="0000EE"/>
          </w:rPr>
          <w:t>K filed September 29, 2014.</w:t>
        </w:r>
      </w:hyperlink>
    </w:p>
    <w:p>
      <w:pPr>
        <w:spacing w:after="0" w:line="183" w:lineRule="exact"/>
        <w:rPr>
          <w:rFonts w:ascii="Arial" w:cs="Arial" w:eastAsia="Arial" w:hAnsi="Arial"/>
          <w:sz w:val="18"/>
          <w:szCs w:val="18"/>
          <w:u w:val="single" w:color="auto"/>
          <w:color w:val="0000EE"/>
        </w:rPr>
      </w:pPr>
    </w:p>
    <w:p>
      <w:pPr>
        <w:ind w:left="1100" w:right="959" w:hanging="860"/>
        <w:spacing w:after="0" w:line="286" w:lineRule="auto"/>
        <w:tabs>
          <w:tab w:leader="none" w:pos="330" w:val="left"/>
        </w:tabs>
        <w:numPr>
          <w:ilvl w:val="0"/>
          <w:numId w:val="68"/>
        </w:numPr>
        <w:rPr>
          <w:rFonts w:ascii="Arial" w:cs="Arial" w:eastAsia="Arial" w:hAnsi="Arial"/>
          <w:sz w:val="17"/>
          <w:szCs w:val="17"/>
          <w:u w:val="single" w:color="auto"/>
          <w:color w:val="0000EE"/>
        </w:rPr>
      </w:pPr>
      <w:r>
        <w:rPr>
          <w:rFonts w:ascii="Arial" w:cs="Arial" w:eastAsia="Arial" w:hAnsi="Arial"/>
          <w:sz w:val="18"/>
          <w:szCs w:val="18"/>
          <w:color w:val="auto"/>
        </w:rPr>
        <w:t>10.14</w:t>
      </w:r>
      <w:hyperlink r:id="rId153">
        <w:r>
          <w:rPr>
            <w:rFonts w:ascii="Arial" w:cs="Arial" w:eastAsia="Arial" w:hAnsi="Arial"/>
            <w:sz w:val="17"/>
            <w:szCs w:val="17"/>
            <w:u w:val="single" w:color="auto"/>
            <w:color w:val="0000EE"/>
          </w:rPr>
          <w:t>Amendment to Ferrell Companies, Inc. 1998 Incentive Compensation Plan, dated as of March 7,</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2010. Incorporated by reference to Exhibit 10.7 to our Quarterly Report on Form 10-Q filed</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June 9, 2010; File No. 001-11331; 000-50182; 000-50183 and 333-06693.</w:t>
        </w:r>
      </w:hyperlink>
    </w:p>
    <w:p>
      <w:pPr>
        <w:spacing w:after="0" w:line="165" w:lineRule="exact"/>
        <w:rPr>
          <w:rFonts w:ascii="Arial" w:cs="Arial" w:eastAsia="Arial" w:hAnsi="Arial"/>
          <w:sz w:val="17"/>
          <w:szCs w:val="17"/>
          <w:u w:val="single" w:color="auto"/>
          <w:color w:val="0000EE"/>
        </w:rPr>
      </w:pPr>
    </w:p>
    <w:p>
      <w:pPr>
        <w:ind w:left="1100" w:right="1279" w:hanging="860"/>
        <w:spacing w:after="0" w:line="275" w:lineRule="auto"/>
        <w:tabs>
          <w:tab w:leader="none" w:pos="330" w:val="left"/>
        </w:tabs>
        <w:numPr>
          <w:ilvl w:val="0"/>
          <w:numId w:val="68"/>
        </w:numPr>
        <w:rPr>
          <w:rFonts w:ascii="Arial" w:cs="Arial" w:eastAsia="Arial" w:hAnsi="Arial"/>
          <w:sz w:val="17"/>
          <w:szCs w:val="17"/>
          <w:u w:val="single" w:color="auto"/>
          <w:color w:val="0000EE"/>
        </w:rPr>
      </w:pPr>
      <w:r>
        <w:rPr>
          <w:rFonts w:ascii="Arial" w:cs="Arial" w:eastAsia="Arial" w:hAnsi="Arial"/>
          <w:sz w:val="18"/>
          <w:szCs w:val="18"/>
          <w:color w:val="auto"/>
        </w:rPr>
        <w:t>10.15</w:t>
      </w:r>
      <w:hyperlink r:id="rId154">
        <w:r>
          <w:rPr>
            <w:rFonts w:ascii="Arial" w:cs="Arial" w:eastAsia="Arial" w:hAnsi="Arial"/>
            <w:sz w:val="17"/>
            <w:szCs w:val="17"/>
            <w:u w:val="single" w:color="auto"/>
            <w:color w:val="0000EE"/>
          </w:rPr>
          <w:t>Employment, Confidentiality, and Noncompete Agreement dated as of July 17, 1998 by and</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among Ferrell Companies, Inc. as the company, Ferrellgas, Inc. as the company, James E.</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Ferrell as the executive and LaSalle National Bank as trustee of the Ferrell Companies, Inc.</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Employee Stock Ownership Trust. Incorporated by reference to Exhibit 10.11 to our Annual</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Report on Form 10-K filed September 29, 2014.</w:t>
        </w:r>
      </w:hyperlink>
    </w:p>
    <w:p>
      <w:pPr>
        <w:spacing w:after="0" w:line="176" w:lineRule="exact"/>
        <w:rPr>
          <w:rFonts w:ascii="Arial" w:cs="Arial" w:eastAsia="Arial" w:hAnsi="Arial"/>
          <w:sz w:val="17"/>
          <w:szCs w:val="17"/>
          <w:u w:val="single" w:color="auto"/>
          <w:color w:val="0000EE"/>
        </w:rPr>
      </w:pPr>
    </w:p>
    <w:p>
      <w:pPr>
        <w:ind w:left="1100" w:right="1059" w:hanging="860"/>
        <w:spacing w:after="0" w:line="259" w:lineRule="auto"/>
        <w:tabs>
          <w:tab w:leader="none" w:pos="330" w:val="left"/>
        </w:tabs>
        <w:numPr>
          <w:ilvl w:val="0"/>
          <w:numId w:val="68"/>
        </w:numPr>
        <w:rPr>
          <w:rFonts w:ascii="Arial" w:cs="Arial" w:eastAsia="Arial" w:hAnsi="Arial"/>
          <w:sz w:val="18"/>
          <w:szCs w:val="18"/>
          <w:u w:val="single" w:color="auto"/>
          <w:color w:val="0000EE"/>
        </w:rPr>
      </w:pPr>
      <w:r>
        <w:rPr>
          <w:rFonts w:ascii="Arial" w:cs="Arial" w:eastAsia="Arial" w:hAnsi="Arial"/>
          <w:sz w:val="18"/>
          <w:szCs w:val="18"/>
          <w:color w:val="auto"/>
        </w:rPr>
        <w:t>10.16</w:t>
      </w:r>
      <w:hyperlink r:id="rId155">
        <w:r>
          <w:rPr>
            <w:rFonts w:ascii="Arial" w:cs="Arial" w:eastAsia="Arial" w:hAnsi="Arial"/>
            <w:sz w:val="18"/>
            <w:szCs w:val="18"/>
            <w:u w:val="single" w:color="auto"/>
            <w:color w:val="0000EE"/>
          </w:rPr>
          <w:t>Form of Director/Officer Indemnification Agreement, by and between Ferrellgas, Inc. and each</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director and executive officer. Incorporated by reference to Exhibit 10.16 to our Quarterly</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Report on Form 10-Q filed March 9, 2012; File No. 001-11331; 000-50182; 000-50183 and</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333-06693.</w:t>
        </w:r>
      </w:hyperlink>
    </w:p>
    <w:p>
      <w:pPr>
        <w:spacing w:after="0" w:line="200" w:lineRule="exact"/>
        <w:rPr>
          <w:rFonts w:ascii="Arial" w:cs="Arial" w:eastAsia="Arial" w:hAnsi="Arial"/>
          <w:sz w:val="18"/>
          <w:szCs w:val="18"/>
          <w:u w:val="single" w:color="auto"/>
          <w:color w:val="0000EE"/>
        </w:rPr>
      </w:pPr>
    </w:p>
    <w:p>
      <w:pPr>
        <w:ind w:left="1100" w:right="1339" w:hanging="860"/>
        <w:spacing w:after="0" w:line="263" w:lineRule="auto"/>
        <w:tabs>
          <w:tab w:leader="none" w:pos="330" w:val="left"/>
        </w:tabs>
        <w:numPr>
          <w:ilvl w:val="0"/>
          <w:numId w:val="68"/>
        </w:numPr>
        <w:rPr>
          <w:rFonts w:ascii="Arial" w:cs="Arial" w:eastAsia="Arial" w:hAnsi="Arial"/>
          <w:sz w:val="18"/>
          <w:szCs w:val="18"/>
          <w:u w:val="single" w:color="auto"/>
          <w:color w:val="0000EE"/>
        </w:rPr>
      </w:pPr>
      <w:r>
        <w:rPr>
          <w:rFonts w:ascii="Arial" w:cs="Arial" w:eastAsia="Arial" w:hAnsi="Arial"/>
          <w:sz w:val="18"/>
          <w:szCs w:val="18"/>
          <w:color w:val="auto"/>
        </w:rPr>
        <w:t>10.17</w:t>
      </w:r>
      <w:hyperlink r:id="rId156">
        <w:r>
          <w:rPr>
            <w:rFonts w:ascii="Arial" w:cs="Arial" w:eastAsia="Arial" w:hAnsi="Arial"/>
            <w:sz w:val="18"/>
            <w:szCs w:val="18"/>
            <w:u w:val="single" w:color="auto"/>
            <w:color w:val="0000EE"/>
          </w:rPr>
          <w:t>Ferrell Companies, Inc. 2015 Deferred Appreciation Rights Plan, dated as of July 31, 2015.</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Incorporated by reference to Exhibit 10.23 to our Annual Report on Form 10-K filed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September 29, 2015.</w:t>
        </w:r>
      </w:hyperlink>
    </w:p>
    <w:p>
      <w:pPr>
        <w:sectPr>
          <w:pgSz w:w="11900" w:h="16838" w:orient="portrait"/>
          <w:cols w:equalWidth="0" w:num="1">
            <w:col w:w="9019"/>
          </w:cols>
          <w:pgMar w:left="1440" w:top="517" w:right="1440" w:bottom="871" w:gutter="0" w:footer="0" w:header="0"/>
        </w:sect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2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E-4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871"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40" w:right="979" w:hanging="816"/>
        <w:spacing w:after="0" w:line="25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8">
        <w:r>
          <w:rPr>
            <w:rFonts w:ascii="Arial" w:cs="Arial" w:eastAsia="Arial" w:hAnsi="Arial"/>
            <w:sz w:val="18"/>
            <w:szCs w:val="18"/>
            <w:u w:val="single" w:color="auto"/>
            <w:color w:val="0000EE"/>
          </w:rPr>
          <w:t>First Amendment to Financing Agreement, dated as of June 6, 2019, by and among Ferrellgas,</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L.P., Ferrellgas, Inc., as the general partner of Ferrellgas, L.P., certain subsidiaries of Ferrellgas,</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L.P., as guarantors, the lenders party thereto, and TPG Specialty Lending, Inc., as collateral</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agent. Incorporated by reference to Exhibit 10.31 to our Quarterly Report on Form 10-Q filed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June 10, 2019.</w:t>
        </w:r>
      </w:hyperlink>
    </w:p>
    <w:p>
      <w:pPr>
        <w:spacing w:after="0" w:line="201" w:lineRule="exact"/>
        <w:rPr>
          <w:rFonts w:ascii="Arial" w:cs="Arial" w:eastAsia="Arial" w:hAnsi="Arial"/>
          <w:sz w:val="18"/>
          <w:szCs w:val="18"/>
          <w:u w:val="single" w:color="auto"/>
          <w:color w:val="0000EE"/>
        </w:rPr>
      </w:pPr>
    </w:p>
    <w:p>
      <w:pPr>
        <w:ind w:left="1140" w:right="979" w:hanging="816"/>
        <w:spacing w:after="0" w:line="25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59">
        <w:r>
          <w:rPr>
            <w:rFonts w:ascii="Arial" w:cs="Arial" w:eastAsia="Arial" w:hAnsi="Arial"/>
            <w:sz w:val="18"/>
            <w:szCs w:val="18"/>
            <w:u w:val="single" w:color="auto"/>
            <w:color w:val="0000EE"/>
          </w:rPr>
          <w:t>Second Amendment to Financing Agreement, dated as of November 7, 2019, by and among</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Ferrellgas, L.P., Ferrellgas, Inc., as the general partner of Ferrellgas, L.P., certain subsidiaries of</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Ferrellgas, L.P., as guarantors, the lenders party thereto, and TPG Specialty Lending, Inc., as</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collateral agent. Incorporated by reference to Exhibit 10.1 to our Current Report on Form 8-K</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filed November 12, 2019.</w:t>
        </w:r>
      </w:hyperlink>
    </w:p>
    <w:p>
      <w:pPr>
        <w:spacing w:after="0" w:line="201" w:lineRule="exact"/>
        <w:rPr>
          <w:rFonts w:ascii="Arial" w:cs="Arial" w:eastAsia="Arial" w:hAnsi="Arial"/>
          <w:sz w:val="18"/>
          <w:szCs w:val="18"/>
          <w:u w:val="single" w:color="auto"/>
          <w:color w:val="0000EE"/>
        </w:rPr>
      </w:pPr>
    </w:p>
    <w:p>
      <w:pPr>
        <w:ind w:left="1160" w:right="1019" w:hanging="934"/>
        <w:spacing w:after="0" w:line="259" w:lineRule="auto"/>
        <w:tabs>
          <w:tab w:leader="none" w:pos="323" w:val="left"/>
        </w:tabs>
        <w:numPr>
          <w:ilvl w:val="0"/>
          <w:numId w:val="69"/>
        </w:numPr>
        <w:rPr>
          <w:rFonts w:ascii="Arial" w:cs="Arial" w:eastAsia="Arial" w:hAnsi="Arial"/>
          <w:sz w:val="18"/>
          <w:szCs w:val="18"/>
          <w:u w:val="single" w:color="auto"/>
          <w:color w:val="0000EE"/>
        </w:rPr>
      </w:pPr>
      <w:r>
        <w:rPr>
          <w:rFonts w:ascii="Arial" w:cs="Arial" w:eastAsia="Arial" w:hAnsi="Arial"/>
          <w:sz w:val="18"/>
          <w:szCs w:val="18"/>
          <w:color w:val="auto"/>
        </w:rPr>
        <w:t>10.20</w:t>
      </w:r>
      <w:hyperlink r:id="rId160">
        <w:r>
          <w:rPr>
            <w:rFonts w:ascii="Arial" w:cs="Arial" w:eastAsia="Arial" w:hAnsi="Arial"/>
            <w:sz w:val="18"/>
            <w:szCs w:val="18"/>
            <w:u w:val="single" w:color="auto"/>
            <w:color w:val="0000EE"/>
          </w:rPr>
          <w:t>Form of Indemnification Agreement, dated as of November 19, 2019, by and between</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Ferrellgas Partners, LP and each director and executive officer of Ferrellgas, Inc., its general</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partner. Incorporated by reference to Exhibit 10.34 to our Quarterly Report on Form 10-Q filed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December 6, 2019.</w:t>
        </w:r>
      </w:hyperlink>
    </w:p>
    <w:p>
      <w:pPr>
        <w:spacing w:after="0" w:line="187" w:lineRule="exact"/>
        <w:rPr>
          <w:rFonts w:ascii="Arial" w:cs="Arial" w:eastAsia="Arial" w:hAnsi="Arial"/>
          <w:sz w:val="18"/>
          <w:szCs w:val="18"/>
          <w:u w:val="single" w:color="auto"/>
          <w:color w:val="0000EE"/>
        </w:rPr>
      </w:pPr>
    </w:p>
    <w:p>
      <w:pPr>
        <w:ind w:left="1160" w:right="979" w:hanging="959"/>
        <w:spacing w:after="0" w:line="263"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61">
        <w:r>
          <w:rPr>
            <w:rFonts w:ascii="Arial" w:cs="Arial" w:eastAsia="Arial" w:hAnsi="Arial"/>
            <w:sz w:val="18"/>
            <w:szCs w:val="18"/>
            <w:u w:val="single" w:color="auto"/>
            <w:color w:val="0000EE"/>
          </w:rPr>
          <w:t>Change in Control Retention Bonus Letter Agreement with William E. Ruisinger, Chief</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Financial Officer and Treasurer, as described in our Current Report on Form 8-K filed April 27,</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2020.</w:t>
        </w:r>
      </w:hyperlink>
    </w:p>
    <w:p>
      <w:pPr>
        <w:spacing w:after="0" w:line="184" w:lineRule="exact"/>
        <w:rPr>
          <w:rFonts w:ascii="Arial" w:cs="Arial" w:eastAsia="Arial" w:hAnsi="Arial"/>
          <w:sz w:val="18"/>
          <w:szCs w:val="18"/>
          <w:u w:val="single" w:color="auto"/>
          <w:color w:val="0000EE"/>
        </w:rPr>
      </w:pPr>
    </w:p>
    <w:p>
      <w:pPr>
        <w:ind w:left="1140" w:right="1219" w:hanging="939"/>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62">
        <w:r>
          <w:rPr>
            <w:rFonts w:ascii="Arial" w:cs="Arial" w:eastAsia="Arial" w:hAnsi="Arial"/>
            <w:sz w:val="18"/>
            <w:szCs w:val="18"/>
            <w:u w:val="single" w:color="auto"/>
            <w:color w:val="0000EE"/>
          </w:rPr>
          <w:t>Change in Control Retention Bonus Letter Agreement with Bryan J. Wright, Senior Vice</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President and Chief Operating Officer, as described in our Current Report on Form 8-K filed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April 27, 2020.</w:t>
        </w:r>
      </w:hyperlink>
    </w:p>
    <w:p>
      <w:pPr>
        <w:spacing w:after="0" w:line="184" w:lineRule="exact"/>
        <w:rPr>
          <w:rFonts w:ascii="Arial" w:cs="Arial" w:eastAsia="Arial" w:hAnsi="Arial"/>
          <w:sz w:val="18"/>
          <w:szCs w:val="18"/>
          <w:u w:val="single" w:color="auto"/>
          <w:color w:val="0000EE"/>
        </w:rPr>
      </w:pPr>
    </w:p>
    <w:p>
      <w:pPr>
        <w:ind w:left="1140" w:right="1079" w:hanging="939"/>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63">
        <w:r>
          <w:rPr>
            <w:rFonts w:ascii="Arial" w:cs="Arial" w:eastAsia="Arial" w:hAnsi="Arial"/>
            <w:sz w:val="18"/>
            <w:szCs w:val="18"/>
            <w:u w:val="single" w:color="auto"/>
            <w:color w:val="0000EE"/>
          </w:rPr>
          <w:t>Change in Control Retention Bonus Letter Agreement Tamria A. Zertuche, Senior Vice</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President and Chief Information Officer, as described in our Current Report on Form 8-K filed</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April 27, 2020.</w:t>
        </w:r>
      </w:hyperlink>
    </w:p>
    <w:p>
      <w:pPr>
        <w:spacing w:after="0" w:line="184" w:lineRule="exact"/>
        <w:rPr>
          <w:rFonts w:ascii="Arial" w:cs="Arial" w:eastAsia="Arial" w:hAnsi="Arial"/>
          <w:sz w:val="18"/>
          <w:szCs w:val="18"/>
          <w:u w:val="single" w:color="auto"/>
          <w:color w:val="0000EE"/>
        </w:rPr>
      </w:pPr>
    </w:p>
    <w:p>
      <w:pPr>
        <w:ind w:left="1140" w:right="1039" w:hanging="816"/>
        <w:spacing w:after="0" w:line="263"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64">
        <w:r>
          <w:rPr>
            <w:rFonts w:ascii="Arial" w:cs="Arial" w:eastAsia="Arial" w:hAnsi="Arial"/>
            <w:sz w:val="18"/>
            <w:szCs w:val="18"/>
            <w:u w:val="single" w:color="auto"/>
            <w:color w:val="0000EE"/>
          </w:rPr>
          <w:t>Forbearance Agreement among Ferrellgas Partners, L.P., Ferrellgas Partners Finance Corp. and</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the beneficial owners dated June 7, 2020. Incorporated by reference to Exhibit 10.1 to our</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Current Report on Form 8-K filed June 11, 2020.</w:t>
        </w:r>
      </w:hyperlink>
    </w:p>
    <w:p>
      <w:pPr>
        <w:spacing w:after="0" w:line="80" w:lineRule="exact"/>
        <w:rPr>
          <w:rFonts w:ascii="Arial" w:cs="Arial" w:eastAsia="Arial" w:hAnsi="Arial"/>
          <w:sz w:val="18"/>
          <w:szCs w:val="18"/>
          <w:u w:val="single" w:color="auto"/>
          <w:color w:val="0000EE"/>
        </w:rPr>
      </w:pPr>
    </w:p>
    <w:p>
      <w:pPr>
        <w:ind w:left="320" w:hanging="94"/>
        <w:spacing w:after="0"/>
        <w:tabs>
          <w:tab w:leader="none" w:pos="320" w:val="left"/>
        </w:tabs>
        <w:numPr>
          <w:ilvl w:val="0"/>
          <w:numId w:val="70"/>
        </w:numPr>
        <w:rPr>
          <w:rFonts w:ascii="Arial" w:cs="Arial" w:eastAsia="Arial" w:hAnsi="Arial"/>
          <w:sz w:val="16"/>
          <w:szCs w:val="16"/>
          <w:u w:val="single" w:color="auto"/>
          <w:color w:val="0000EE"/>
        </w:rPr>
      </w:pPr>
      <w:r>
        <w:rPr>
          <w:rFonts w:ascii="Arial" w:cs="Arial" w:eastAsia="Arial" w:hAnsi="Arial"/>
          <w:sz w:val="18"/>
          <w:szCs w:val="18"/>
          <w:color w:val="auto"/>
        </w:rPr>
        <w:t>21.1</w:t>
      </w:r>
      <w:hyperlink w:anchor="page215">
        <w:r>
          <w:rPr>
            <w:rFonts w:ascii="Arial" w:cs="Arial" w:eastAsia="Arial" w:hAnsi="Arial"/>
            <w:sz w:val="16"/>
            <w:szCs w:val="16"/>
            <w:u w:val="single" w:color="auto"/>
            <w:color w:val="0000EE"/>
          </w:rPr>
          <w:t>List of subsidiaries</w:t>
        </w:r>
      </w:hyperlink>
    </w:p>
    <w:p>
      <w:pPr>
        <w:spacing w:after="0" w:line="201" w:lineRule="exact"/>
        <w:rPr>
          <w:rFonts w:ascii="Arial" w:cs="Arial" w:eastAsia="Arial" w:hAnsi="Arial"/>
          <w:sz w:val="16"/>
          <w:szCs w:val="16"/>
          <w:u w:val="single" w:color="auto"/>
          <w:color w:val="0000EE"/>
        </w:rPr>
      </w:pPr>
    </w:p>
    <w:p>
      <w:pPr>
        <w:ind w:left="1160" w:right="1059" w:hanging="934"/>
        <w:spacing w:after="0" w:line="263" w:lineRule="auto"/>
        <w:tabs>
          <w:tab w:leader="none" w:pos="323" w:val="left"/>
        </w:tabs>
        <w:numPr>
          <w:ilvl w:val="0"/>
          <w:numId w:val="70"/>
        </w:numPr>
        <w:rPr>
          <w:rFonts w:ascii="Arial" w:cs="Arial" w:eastAsia="Arial" w:hAnsi="Arial"/>
          <w:sz w:val="18"/>
          <w:szCs w:val="18"/>
          <w:u w:val="single" w:color="auto"/>
          <w:color w:val="0000EE"/>
        </w:rPr>
      </w:pPr>
      <w:r>
        <w:rPr>
          <w:rFonts w:ascii="Arial" w:cs="Arial" w:eastAsia="Arial" w:hAnsi="Arial"/>
          <w:sz w:val="18"/>
          <w:szCs w:val="18"/>
          <w:color w:val="auto"/>
        </w:rPr>
        <w:t>23.1</w:t>
      </w:r>
      <w:hyperlink w:anchor="page216">
        <w:r>
          <w:rPr>
            <w:rFonts w:ascii="Arial" w:cs="Arial" w:eastAsia="Arial" w:hAnsi="Arial"/>
            <w:sz w:val="18"/>
            <w:szCs w:val="18"/>
            <w:u w:val="single" w:color="auto"/>
            <w:color w:val="0000EE"/>
          </w:rPr>
          <w:t>Consent of Grant Thornton LLP, independent registered public accounting firm, for the certain</w:t>
        </w:r>
      </w:hyperlink>
      <w:r>
        <w:rPr>
          <w:rFonts w:ascii="Arial" w:cs="Arial" w:eastAsia="Arial" w:hAnsi="Arial"/>
          <w:sz w:val="18"/>
          <w:szCs w:val="18"/>
          <w:u w:val="single" w:color="auto"/>
          <w:color w:val="0000EE"/>
        </w:rPr>
        <w:t xml:space="preserve"> </w:t>
      </w:r>
      <w:hyperlink w:anchor="page216">
        <w:r>
          <w:rPr>
            <w:rFonts w:ascii="Arial" w:cs="Arial" w:eastAsia="Arial" w:hAnsi="Arial"/>
            <w:sz w:val="18"/>
            <w:szCs w:val="18"/>
            <w:u w:val="single" w:color="auto"/>
            <w:color w:val="0000EE"/>
          </w:rPr>
          <w:t>use of its report appearing in the Annual Report on Form 10-K of Ferrellgas Partners, L.P. for</w:t>
        </w:r>
      </w:hyperlink>
      <w:r>
        <w:rPr>
          <w:rFonts w:ascii="Arial" w:cs="Arial" w:eastAsia="Arial" w:hAnsi="Arial"/>
          <w:sz w:val="18"/>
          <w:szCs w:val="18"/>
          <w:u w:val="single" w:color="auto"/>
          <w:color w:val="0000EE"/>
        </w:rPr>
        <w:t xml:space="preserve"> </w:t>
      </w:r>
      <w:hyperlink w:anchor="page216">
        <w:r>
          <w:rPr>
            <w:rFonts w:ascii="Arial" w:cs="Arial" w:eastAsia="Arial" w:hAnsi="Arial"/>
            <w:sz w:val="18"/>
            <w:szCs w:val="18"/>
            <w:u w:val="single" w:color="auto"/>
            <w:color w:val="0000EE"/>
          </w:rPr>
          <w:t>the year ended July 31, 2020.</w:t>
        </w:r>
      </w:hyperlink>
    </w:p>
    <w:p>
      <w:pPr>
        <w:spacing w:after="0" w:line="183" w:lineRule="exact"/>
        <w:rPr>
          <w:rFonts w:ascii="Arial" w:cs="Arial" w:eastAsia="Arial" w:hAnsi="Arial"/>
          <w:sz w:val="18"/>
          <w:szCs w:val="18"/>
          <w:u w:val="single" w:color="auto"/>
          <w:color w:val="0000EE"/>
        </w:rPr>
      </w:pPr>
    </w:p>
    <w:p>
      <w:pPr>
        <w:ind w:left="1160" w:right="1219" w:hanging="934"/>
        <w:spacing w:after="0" w:line="277" w:lineRule="auto"/>
        <w:tabs>
          <w:tab w:leader="none" w:pos="323" w:val="left"/>
        </w:tabs>
        <w:numPr>
          <w:ilvl w:val="0"/>
          <w:numId w:val="70"/>
        </w:numPr>
        <w:rPr>
          <w:rFonts w:ascii="Arial" w:cs="Arial" w:eastAsia="Arial" w:hAnsi="Arial"/>
          <w:sz w:val="18"/>
          <w:szCs w:val="18"/>
          <w:u w:val="single" w:color="auto"/>
          <w:color w:val="0000EE"/>
        </w:rPr>
      </w:pPr>
      <w:r>
        <w:rPr>
          <w:rFonts w:ascii="Arial" w:cs="Arial" w:eastAsia="Arial" w:hAnsi="Arial"/>
          <w:sz w:val="18"/>
          <w:szCs w:val="18"/>
          <w:color w:val="auto"/>
        </w:rPr>
        <w:t>31.1</w:t>
      </w:r>
      <w:hyperlink w:anchor="page217">
        <w:r>
          <w:rPr>
            <w:rFonts w:ascii="Arial" w:cs="Arial" w:eastAsia="Arial" w:hAnsi="Arial"/>
            <w:sz w:val="18"/>
            <w:szCs w:val="18"/>
            <w:u w:val="single" w:color="auto"/>
            <w:color w:val="0000EE"/>
          </w:rPr>
          <w:t>Certification of Ferrellgas Partners, L.P. pursuant to Rule 13a-14(a) or Rule 15d-14(a) of the</w:t>
        </w:r>
      </w:hyperlink>
      <w:r>
        <w:rPr>
          <w:rFonts w:ascii="Arial" w:cs="Arial" w:eastAsia="Arial" w:hAnsi="Arial"/>
          <w:sz w:val="18"/>
          <w:szCs w:val="18"/>
          <w:u w:val="single" w:color="auto"/>
          <w:color w:val="0000EE"/>
        </w:rPr>
        <w:t xml:space="preserve"> </w:t>
      </w:r>
      <w:hyperlink w:anchor="page217">
        <w:r>
          <w:rPr>
            <w:rFonts w:ascii="Arial" w:cs="Arial" w:eastAsia="Arial" w:hAnsi="Arial"/>
            <w:sz w:val="18"/>
            <w:szCs w:val="18"/>
            <w:u w:val="single" w:color="auto"/>
            <w:color w:val="0000EE"/>
          </w:rPr>
          <w:t>Exchange Act.</w:t>
        </w:r>
      </w:hyperlink>
    </w:p>
    <w:p>
      <w:pPr>
        <w:spacing w:after="0" w:line="170" w:lineRule="exact"/>
        <w:rPr>
          <w:rFonts w:ascii="Arial" w:cs="Arial" w:eastAsia="Arial" w:hAnsi="Arial"/>
          <w:sz w:val="18"/>
          <w:szCs w:val="18"/>
          <w:u w:val="single" w:color="auto"/>
          <w:color w:val="0000EE"/>
        </w:rPr>
      </w:pPr>
    </w:p>
    <w:p>
      <w:pPr>
        <w:ind w:left="1160" w:right="1359" w:hanging="934"/>
        <w:spacing w:after="0" w:line="277" w:lineRule="auto"/>
        <w:tabs>
          <w:tab w:leader="none" w:pos="323" w:val="left"/>
        </w:tabs>
        <w:numPr>
          <w:ilvl w:val="0"/>
          <w:numId w:val="70"/>
        </w:numPr>
        <w:rPr>
          <w:rFonts w:ascii="Arial" w:cs="Arial" w:eastAsia="Arial" w:hAnsi="Arial"/>
          <w:sz w:val="18"/>
          <w:szCs w:val="18"/>
          <w:u w:val="single" w:color="auto"/>
          <w:color w:val="0000EE"/>
        </w:rPr>
      </w:pPr>
      <w:r>
        <w:rPr>
          <w:rFonts w:ascii="Arial" w:cs="Arial" w:eastAsia="Arial" w:hAnsi="Arial"/>
          <w:sz w:val="18"/>
          <w:szCs w:val="18"/>
          <w:color w:val="auto"/>
        </w:rPr>
        <w:t>31.2</w:t>
      </w:r>
      <w:hyperlink w:anchor="page219">
        <w:r>
          <w:rPr>
            <w:rFonts w:ascii="Arial" w:cs="Arial" w:eastAsia="Arial" w:hAnsi="Arial"/>
            <w:sz w:val="18"/>
            <w:szCs w:val="18"/>
            <w:u w:val="single" w:color="auto"/>
            <w:color w:val="0000EE"/>
          </w:rPr>
          <w:t>Certification of Ferrellgas Partners Finance Corp. pursuant to Rule 13a-14(a) or Rule 15d-</w:t>
        </w:r>
      </w:hyperlink>
      <w:hyperlink w:anchor="page219">
        <w:r>
          <w:rPr>
            <w:rFonts w:ascii="Arial" w:cs="Arial" w:eastAsia="Arial" w:hAnsi="Arial"/>
            <w:sz w:val="18"/>
            <w:szCs w:val="18"/>
            <w:u w:val="single" w:color="auto"/>
            <w:color w:val="0000EE"/>
          </w:rPr>
          <w:t>14(a) of the Exchange Act.</w:t>
        </w:r>
      </w:hyperlink>
    </w:p>
    <w:p>
      <w:pPr>
        <w:spacing w:after="0" w:line="170" w:lineRule="exact"/>
        <w:rPr>
          <w:rFonts w:ascii="Arial" w:cs="Arial" w:eastAsia="Arial" w:hAnsi="Arial"/>
          <w:sz w:val="18"/>
          <w:szCs w:val="18"/>
          <w:u w:val="single" w:color="auto"/>
          <w:color w:val="0000EE"/>
        </w:rPr>
      </w:pPr>
    </w:p>
    <w:p>
      <w:pPr>
        <w:ind w:left="1160" w:right="1099" w:hanging="934"/>
        <w:spacing w:after="0" w:line="277" w:lineRule="auto"/>
        <w:tabs>
          <w:tab w:leader="none" w:pos="323" w:val="left"/>
        </w:tabs>
        <w:numPr>
          <w:ilvl w:val="0"/>
          <w:numId w:val="70"/>
        </w:numPr>
        <w:rPr>
          <w:rFonts w:ascii="Arial" w:cs="Arial" w:eastAsia="Arial" w:hAnsi="Arial"/>
          <w:sz w:val="18"/>
          <w:szCs w:val="18"/>
          <w:u w:val="single" w:color="auto"/>
          <w:color w:val="0000EE"/>
        </w:rPr>
      </w:pPr>
      <w:r>
        <w:rPr>
          <w:rFonts w:ascii="Arial" w:cs="Arial" w:eastAsia="Arial" w:hAnsi="Arial"/>
          <w:sz w:val="18"/>
          <w:szCs w:val="18"/>
          <w:color w:val="auto"/>
        </w:rPr>
        <w:t>31.3</w:t>
      </w:r>
      <w:hyperlink w:anchor="page221">
        <w:r>
          <w:rPr>
            <w:rFonts w:ascii="Arial" w:cs="Arial" w:eastAsia="Arial" w:hAnsi="Arial"/>
            <w:sz w:val="18"/>
            <w:szCs w:val="18"/>
            <w:u w:val="single" w:color="auto"/>
            <w:color w:val="0000EE"/>
          </w:rPr>
          <w:t>Certification of Ferrellgas, L.P. pursuant to Rule 13a-14(a) or Rule 15d-14(a) of the Exchange</w:t>
        </w:r>
      </w:hyperlink>
      <w:r>
        <w:rPr>
          <w:rFonts w:ascii="Arial" w:cs="Arial" w:eastAsia="Arial" w:hAnsi="Arial"/>
          <w:sz w:val="18"/>
          <w:szCs w:val="18"/>
          <w:u w:val="single" w:color="auto"/>
          <w:color w:val="0000EE"/>
        </w:rPr>
        <w:t xml:space="preserve"> </w:t>
      </w:r>
      <w:hyperlink w:anchor="page221">
        <w:r>
          <w:rPr>
            <w:rFonts w:ascii="Arial" w:cs="Arial" w:eastAsia="Arial" w:hAnsi="Arial"/>
            <w:sz w:val="18"/>
            <w:szCs w:val="18"/>
            <w:u w:val="single" w:color="auto"/>
            <w:color w:val="0000EE"/>
          </w:rPr>
          <w:t>Act.</w:t>
        </w:r>
      </w:hyperlink>
    </w:p>
    <w:p>
      <w:pPr>
        <w:spacing w:after="0" w:line="170" w:lineRule="exact"/>
        <w:rPr>
          <w:rFonts w:ascii="Arial" w:cs="Arial" w:eastAsia="Arial" w:hAnsi="Arial"/>
          <w:sz w:val="18"/>
          <w:szCs w:val="18"/>
          <w:u w:val="single" w:color="auto"/>
          <w:color w:val="0000EE"/>
        </w:rPr>
      </w:pPr>
    </w:p>
    <w:p>
      <w:pPr>
        <w:ind w:left="1160" w:right="1159" w:hanging="934"/>
        <w:spacing w:after="0" w:line="277" w:lineRule="auto"/>
        <w:tabs>
          <w:tab w:leader="none" w:pos="323" w:val="left"/>
        </w:tabs>
        <w:numPr>
          <w:ilvl w:val="0"/>
          <w:numId w:val="70"/>
        </w:numPr>
        <w:rPr>
          <w:rFonts w:ascii="Arial" w:cs="Arial" w:eastAsia="Arial" w:hAnsi="Arial"/>
          <w:sz w:val="18"/>
          <w:szCs w:val="18"/>
          <w:u w:val="single" w:color="auto"/>
          <w:color w:val="0000EE"/>
        </w:rPr>
      </w:pPr>
      <w:r>
        <w:rPr>
          <w:rFonts w:ascii="Arial" w:cs="Arial" w:eastAsia="Arial" w:hAnsi="Arial"/>
          <w:sz w:val="18"/>
          <w:szCs w:val="18"/>
          <w:color w:val="auto"/>
        </w:rPr>
        <w:t>31.4</w:t>
      </w:r>
      <w:hyperlink w:anchor="page223">
        <w:r>
          <w:rPr>
            <w:rFonts w:ascii="Arial" w:cs="Arial" w:eastAsia="Arial" w:hAnsi="Arial"/>
            <w:sz w:val="18"/>
            <w:szCs w:val="18"/>
            <w:u w:val="single" w:color="auto"/>
            <w:color w:val="0000EE"/>
          </w:rPr>
          <w:t>Certification of Ferrellgas Finance Corp. pursuant to Rule 13a-14(a) or Rule 15d-14(a) of the</w:t>
        </w:r>
      </w:hyperlink>
      <w:r>
        <w:rPr>
          <w:rFonts w:ascii="Arial" w:cs="Arial" w:eastAsia="Arial" w:hAnsi="Arial"/>
          <w:sz w:val="18"/>
          <w:szCs w:val="18"/>
          <w:u w:val="single" w:color="auto"/>
          <w:color w:val="0000EE"/>
        </w:rPr>
        <w:t xml:space="preserve"> </w:t>
      </w:r>
      <w:hyperlink w:anchor="page223">
        <w:r>
          <w:rPr>
            <w:rFonts w:ascii="Arial" w:cs="Arial" w:eastAsia="Arial" w:hAnsi="Arial"/>
            <w:sz w:val="18"/>
            <w:szCs w:val="18"/>
            <w:u w:val="single" w:color="auto"/>
            <w:color w:val="0000EE"/>
          </w:rPr>
          <w:t>Exchange Act.</w:t>
        </w:r>
      </w:hyperlink>
    </w:p>
    <w:p>
      <w:pPr>
        <w:spacing w:after="0" w:line="67" w:lineRule="exact"/>
        <w:rPr>
          <w:rFonts w:ascii="Arial" w:cs="Arial" w:eastAsia="Arial" w:hAnsi="Arial"/>
          <w:sz w:val="18"/>
          <w:szCs w:val="18"/>
          <w:u w:val="single" w:color="auto"/>
          <w:color w:val="0000EE"/>
        </w:rPr>
      </w:pPr>
    </w:p>
    <w:p>
      <w:pPr>
        <w:ind w:left="320" w:hanging="94"/>
        <w:spacing w:after="0"/>
        <w:tabs>
          <w:tab w:leader="none" w:pos="320" w:val="left"/>
        </w:tabs>
        <w:numPr>
          <w:ilvl w:val="0"/>
          <w:numId w:val="70"/>
        </w:numPr>
        <w:rPr>
          <w:rFonts w:ascii="Arial" w:cs="Arial" w:eastAsia="Arial" w:hAnsi="Arial"/>
          <w:sz w:val="16"/>
          <w:szCs w:val="16"/>
          <w:u w:val="single" w:color="auto"/>
          <w:color w:val="0000EE"/>
        </w:rPr>
      </w:pPr>
      <w:r>
        <w:rPr>
          <w:rFonts w:ascii="Arial" w:cs="Arial" w:eastAsia="Arial" w:hAnsi="Arial"/>
          <w:sz w:val="18"/>
          <w:szCs w:val="18"/>
          <w:color w:val="auto"/>
        </w:rPr>
        <w:t>32.1</w:t>
      </w:r>
      <w:hyperlink w:anchor="page225">
        <w:r>
          <w:rPr>
            <w:rFonts w:ascii="Arial" w:cs="Arial" w:eastAsia="Arial" w:hAnsi="Arial"/>
            <w:sz w:val="16"/>
            <w:szCs w:val="16"/>
            <w:u w:val="single" w:color="auto"/>
            <w:color w:val="0000EE"/>
          </w:rPr>
          <w:t>Certification of Ferrellgas Partners, L.P. pursuant to 18 U.S.C. Section 1350.</w:t>
        </w:r>
      </w:hyperlink>
    </w:p>
    <w:p>
      <w:pPr>
        <w:spacing w:after="0" w:line="139" w:lineRule="exact"/>
        <w:rPr>
          <w:rFonts w:ascii="Arial" w:cs="Arial" w:eastAsia="Arial" w:hAnsi="Arial"/>
          <w:sz w:val="16"/>
          <w:szCs w:val="16"/>
          <w:u w:val="single" w:color="auto"/>
          <w:color w:val="0000EE"/>
        </w:rPr>
      </w:pPr>
    </w:p>
    <w:p>
      <w:pPr>
        <w:ind w:left="320" w:hanging="94"/>
        <w:spacing w:after="0"/>
        <w:tabs>
          <w:tab w:leader="none" w:pos="320" w:val="left"/>
        </w:tabs>
        <w:numPr>
          <w:ilvl w:val="0"/>
          <w:numId w:val="70"/>
        </w:numPr>
        <w:rPr>
          <w:rFonts w:ascii="Arial" w:cs="Arial" w:eastAsia="Arial" w:hAnsi="Arial"/>
          <w:sz w:val="16"/>
          <w:szCs w:val="16"/>
          <w:u w:val="single" w:color="auto"/>
          <w:color w:val="0000EE"/>
        </w:rPr>
      </w:pPr>
      <w:r>
        <w:rPr>
          <w:rFonts w:ascii="Arial" w:cs="Arial" w:eastAsia="Arial" w:hAnsi="Arial"/>
          <w:sz w:val="18"/>
          <w:szCs w:val="18"/>
          <w:color w:val="auto"/>
        </w:rPr>
        <w:t>32.2</w:t>
      </w:r>
      <w:hyperlink w:anchor="page226">
        <w:r>
          <w:rPr>
            <w:rFonts w:ascii="Arial" w:cs="Arial" w:eastAsia="Arial" w:hAnsi="Arial"/>
            <w:sz w:val="16"/>
            <w:szCs w:val="16"/>
            <w:u w:val="single" w:color="auto"/>
            <w:color w:val="0000EE"/>
          </w:rPr>
          <w:t>Certification of Ferrellgas Partners Finance Corp. pursuant to 18 U.S.C. Section 1350.</w:t>
        </w:r>
      </w:hyperlink>
    </w:p>
    <w:p>
      <w:pPr>
        <w:spacing w:after="0" w:line="202" w:lineRule="exact"/>
        <w:rPr>
          <w:rFonts w:ascii="Arial" w:cs="Arial" w:eastAsia="Arial" w:hAnsi="Arial"/>
          <w:sz w:val="29"/>
          <w:szCs w:val="29"/>
          <w:color w:val="auto"/>
          <w:vertAlign w:val="superscript"/>
        </w:rPr>
      </w:pPr>
    </w:p>
    <w:p>
      <w:pPr>
        <w:ind w:left="2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*32.3</w:t>
      </w:r>
      <w:r>
        <w:rPr>
          <w:sz w:val="20"/>
          <w:szCs w:val="20"/>
          <w:color w:val="auto"/>
        </w:rPr>
        <w:tab/>
      </w:r>
      <w:hyperlink w:anchor="page227">
        <w:r>
          <w:rPr>
            <w:rFonts w:ascii="Arial" w:cs="Arial" w:eastAsia="Arial" w:hAnsi="Arial"/>
            <w:sz w:val="16"/>
            <w:szCs w:val="16"/>
            <w:u w:val="single" w:color="auto"/>
            <w:color w:val="0000EE"/>
          </w:rPr>
          <w:t>Certification of Ferrellgas, L.P. pursuant to 18 U.S.C. Section 1350.</w:t>
        </w:r>
      </w:hyperlink>
    </w:p>
    <w:p>
      <w:pPr>
        <w:spacing w:after="0" w:line="252" w:lineRule="exact"/>
        <w:rPr>
          <w:rFonts w:ascii="Arial" w:cs="Arial" w:eastAsia="Arial" w:hAnsi="Arial"/>
          <w:sz w:val="29"/>
          <w:szCs w:val="29"/>
          <w:color w:val="auto"/>
          <w:vertAlign w:val="superscript"/>
        </w:rPr>
      </w:pPr>
    </w:p>
    <w:p>
      <w:pPr>
        <w:ind w:left="20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*32.4</w:t>
      </w:r>
      <w:r>
        <w:rPr>
          <w:sz w:val="20"/>
          <w:szCs w:val="20"/>
          <w:color w:val="auto"/>
        </w:rPr>
        <w:tab/>
      </w:r>
      <w:hyperlink w:anchor="page228">
        <w:r>
          <w:rPr>
            <w:rFonts w:ascii="Arial" w:cs="Arial" w:eastAsia="Arial" w:hAnsi="Arial"/>
            <w:sz w:val="16"/>
            <w:szCs w:val="16"/>
            <w:u w:val="single" w:color="auto"/>
            <w:color w:val="0000EE"/>
          </w:rPr>
          <w:t>Certification of Ferrellgas Finance Corp. pursuant to 18 U.S.C. Section 1350.</w:t>
        </w:r>
      </w:hyperlink>
    </w:p>
    <w:p>
      <w:pPr>
        <w:spacing w:after="0" w:line="252" w:lineRule="exact"/>
        <w:rPr>
          <w:rFonts w:ascii="Arial" w:cs="Arial" w:eastAsia="Arial" w:hAnsi="Arial"/>
          <w:sz w:val="29"/>
          <w:szCs w:val="29"/>
          <w:color w:val="auto"/>
          <w:vertAlign w:val="superscript"/>
        </w:rPr>
      </w:pPr>
    </w:p>
    <w:p>
      <w:pPr>
        <w:ind w:left="200"/>
        <w:spacing w:after="0"/>
        <w:tabs>
          <w:tab w:leader="none" w:pos="11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ectPr>
          <w:pgSz w:w="11900" w:h="16838" w:orient="portrait"/>
          <w:cols w:equalWidth="0" w:num="1">
            <w:col w:w="9019"/>
          </w:cols>
          <w:pgMar w:left="1440" w:top="517" w:right="1440" w:bottom="588" w:gutter="0" w:footer="0" w:header="0"/>
        </w:sect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71" w:lineRule="exact"/>
        <w:rPr>
          <w:rFonts w:ascii="Arial" w:cs="Arial" w:eastAsia="Arial" w:hAnsi="Arial"/>
          <w:sz w:val="29"/>
          <w:szCs w:val="29"/>
          <w:color w:val="auto"/>
          <w:vertAlign w:val="superscript"/>
        </w:rPr>
      </w:pPr>
    </w:p>
    <w:p>
      <w:pPr>
        <w:jc w:val="center"/>
        <w:spacing w:after="0"/>
        <w:rPr>
          <w:sz w:val="20"/>
          <w:szCs w:val="20"/>
          <w:color w:val="auto"/>
        </w:rPr>
      </w:pPr>
      <w:r>
        <w:rPr>
          <w:rFonts w:ascii="Arial" w:cs="Arial" w:eastAsia="Arial" w:hAnsi="Arial"/>
          <w:sz w:val="16"/>
          <w:szCs w:val="16"/>
          <w:color w:val="auto"/>
        </w:rPr>
        <w:t>E-5</w:t>
      </w:r>
    </w:p>
    <w:p>
      <w:pPr>
        <w:spacing w:after="0" w:line="20" w:lineRule="exact"/>
        <w:rPr>
          <w:rFonts w:ascii="Arial" w:cs="Arial" w:eastAsia="Arial" w:hAnsi="Arial"/>
          <w:sz w:val="29"/>
          <w:szCs w:val="29"/>
          <w:color w:val="auto"/>
          <w:vertAlign w:val="superscript"/>
        </w:rPr>
      </w:pPr>
      <w:r>
        <w:rPr>
          <w:rFonts w:ascii="Arial" w:cs="Arial" w:eastAsia="Arial" w:hAnsi="Arial"/>
          <w:sz w:val="29"/>
          <w:szCs w:val="29"/>
          <w:color w:val="auto"/>
          <w:vertAlign w:val="superscript"/>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588" w:gutter="0" w:footer="0" w:header="0"/>
          <w:type w:val="continuous"/>
        </w:sectPr>
      </w:pPr>
    </w:p>
    <w:bookmarkStart w:id="103" w:name="page104"/>
    <w:bookmarkEnd w:id="103"/>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980" w:space="220"/>
            <w:col w:w="7819"/>
          </w:cols>
          <w:pgMar w:left="1440" w:top="517" w:right="1440" w:bottom="1440" w:gutter="0" w:footer="0" w:header="0"/>
          <w:type w:val="continuous"/>
        </w:sectPr>
      </w:pPr>
    </w:p>
    <w:p>
      <w:pPr>
        <w:spacing w:after="0" w:line="3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1000" w:space="200"/>
            <w:col w:w="7819"/>
          </w:cols>
          <w:pgMar w:left="1440" w:top="517" w:right="1440"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980" w:space="220"/>
            <w:col w:w="7819"/>
          </w:cols>
          <w:pgMar w:left="1440" w:top="517" w:right="1440" w:bottom="1440" w:gutter="0" w:footer="0" w:header="0"/>
          <w:type w:val="continuous"/>
        </w:sectPr>
      </w:pPr>
    </w:p>
    <w:p>
      <w:pPr>
        <w:spacing w:after="0" w:line="3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38" w:orient="portrait"/>
          <w:cols w:equalWidth="0" w:num="2">
            <w:col w:w="1000" w:space="200"/>
            <w:col w:w="7819"/>
          </w:cols>
          <w:pgMar w:left="1440" w:top="517" w:right="1440"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97790</wp:posOffset>
            </wp:positionV>
            <wp:extent cx="141414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60" w:space="240"/>
            <w:col w:w="7819"/>
          </w:cols>
          <w:pgMar w:left="1440" w:top="517" w:right="1440" w:bottom="1440" w:gutter="0" w:footer="0" w:header="0"/>
          <w:type w:val="continuous"/>
        </w:sectPr>
      </w:pPr>
    </w:p>
    <w:p>
      <w:pPr>
        <w:spacing w:after="0" w:line="37" w:lineRule="exact"/>
        <w:rPr>
          <w:sz w:val="20"/>
          <w:szCs w:val="20"/>
          <w:color w:val="auto"/>
        </w:rPr>
      </w:pPr>
    </w:p>
    <w:p>
      <w:pPr>
        <w:ind w:left="420" w:hanging="370"/>
        <w:spacing w:after="0"/>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20" w:hanging="370"/>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Management contracts or compensatory plans.</w:t>
      </w:r>
    </w:p>
    <w:p>
      <w:pPr>
        <w:spacing w:after="0" w:line="225" w:lineRule="exact"/>
        <w:rPr>
          <w:sz w:val="20"/>
          <w:szCs w:val="20"/>
          <w:color w:val="auto"/>
        </w:rPr>
      </w:pPr>
    </w:p>
    <w:p>
      <w:pPr>
        <w:jc w:val="both"/>
        <w:ind w:left="380" w:right="219" w:hanging="330"/>
        <w:spacing w:after="0" w:line="263" w:lineRule="auto"/>
        <w:tabs>
          <w:tab w:leader="none" w:pos="4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A list of these Exhibits and Schedules is included in the index of each Purchase and Sale Agreement. Ferrellgas agrees to furnish a supplemental copy of any such omitted Exhibit or Schedule to the SEC upon request.</w:t>
      </w:r>
    </w:p>
    <w:p>
      <w:pPr>
        <w:spacing w:after="0" w:line="184" w:lineRule="exact"/>
        <w:rPr>
          <w:sz w:val="20"/>
          <w:szCs w:val="20"/>
          <w:color w:val="auto"/>
        </w:rPr>
      </w:pPr>
    </w:p>
    <w:p>
      <w:pPr>
        <w:ind w:left="380" w:right="359" w:hanging="330"/>
        <w:spacing w:after="0" w:line="277" w:lineRule="auto"/>
        <w:tabs>
          <w:tab w:leader="none" w:pos="3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w:t>
      </w:r>
    </w:p>
    <w:p>
      <w:pPr>
        <w:spacing w:after="0" w:line="17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FERRELLGAS PARTNERS, L.P.</w:t>
            </w:r>
          </w:p>
        </w:tc>
      </w:tr>
      <w:tr>
        <w:trPr>
          <w:trHeight w:val="432"/>
        </w:trPr>
        <w:tc>
          <w:tcPr>
            <w:tcW w:w="3120" w:type="dxa"/>
            <w:vAlign w:val="bottom"/>
          </w:tcPr>
          <w:p>
            <w:pPr>
              <w:spacing w:after="0"/>
              <w:rPr>
                <w:sz w:val="24"/>
                <w:szCs w:val="24"/>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By Ferrellgas, Inc. (General Partner)</w:t>
            </w:r>
          </w:p>
        </w:tc>
      </w:tr>
      <w:tr>
        <w:trPr>
          <w:trHeight w:val="864"/>
        </w:trPr>
        <w:tc>
          <w:tcPr>
            <w:tcW w:w="3120" w:type="dxa"/>
            <w:vAlign w:val="bottom"/>
          </w:tcPr>
          <w:p>
            <w:pPr>
              <w:spacing w:after="0"/>
              <w:rPr>
                <w:sz w:val="20"/>
                <w:szCs w:val="20"/>
                <w:color w:val="auto"/>
              </w:rPr>
            </w:pPr>
            <w:r>
              <w:rPr>
                <w:rFonts w:ascii="Arial" w:cs="Arial" w:eastAsia="Arial" w:hAnsi="Arial"/>
                <w:sz w:val="18"/>
                <w:szCs w:val="18"/>
                <w:color w:val="auto"/>
              </w:rPr>
              <w:t>Date:  October 15, 2020</w:t>
            </w: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By /s/ James E. Ferrell</w:t>
            </w:r>
          </w:p>
        </w:tc>
      </w:tr>
      <w:tr>
        <w:trPr>
          <w:trHeight w:val="195"/>
        </w:trPr>
        <w:tc>
          <w:tcPr>
            <w:tcW w:w="3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E. Ferrell</w:t>
            </w:r>
          </w:p>
        </w:tc>
      </w:tr>
      <w:tr>
        <w:trPr>
          <w:trHeight w:val="216"/>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Interim Chief Executive Officer and President;</w:t>
            </w:r>
          </w:p>
        </w:tc>
      </w:tr>
      <w:tr>
        <w:trPr>
          <w:trHeight w:val="230"/>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202"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Signature</w:t>
            </w:r>
          </w:p>
        </w:tc>
        <w:tc>
          <w:tcPr>
            <w:tcW w:w="740" w:type="dxa"/>
            <w:vAlign w:val="bottom"/>
          </w:tcPr>
          <w:p>
            <w:pPr>
              <w:spacing w:after="0"/>
              <w:rPr>
                <w:sz w:val="14"/>
                <w:szCs w:val="14"/>
                <w:color w:val="auto"/>
              </w:rPr>
            </w:pPr>
          </w:p>
        </w:tc>
        <w:tc>
          <w:tcPr>
            <w:tcW w:w="40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E. Ferrell</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Interim Chief Executive Officer and President;</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200"/>
              <w:spacing w:after="0"/>
              <w:rPr>
                <w:sz w:val="20"/>
                <w:szCs w:val="20"/>
                <w:color w:val="auto"/>
              </w:rPr>
            </w:pPr>
            <w:r>
              <w:rPr>
                <w:rFonts w:ascii="Arial" w:cs="Arial" w:eastAsia="Arial" w:hAnsi="Arial"/>
                <w:sz w:val="18"/>
                <w:szCs w:val="18"/>
                <w:color w:val="auto"/>
              </w:rPr>
              <w:t>James E. Ferrell</w:t>
            </w:r>
          </w:p>
        </w:tc>
        <w:tc>
          <w:tcPr>
            <w:tcW w:w="7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tcPr>
          <w:p>
            <w:pPr>
              <w:spacing w:after="0"/>
              <w:rPr>
                <w:sz w:val="19"/>
                <w:szCs w:val="19"/>
                <w:color w:val="auto"/>
              </w:rPr>
            </w:pPr>
          </w:p>
        </w:tc>
      </w:tr>
      <w:tr>
        <w:trPr>
          <w:trHeight w:val="41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Pamela A. Breuckmann</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200"/>
              <w:spacing w:after="0"/>
              <w:rPr>
                <w:sz w:val="20"/>
                <w:szCs w:val="20"/>
                <w:color w:val="auto"/>
              </w:rPr>
            </w:pPr>
            <w:r>
              <w:rPr>
                <w:rFonts w:ascii="Arial" w:cs="Arial" w:eastAsia="Arial" w:hAnsi="Arial"/>
                <w:sz w:val="18"/>
                <w:szCs w:val="18"/>
                <w:color w:val="auto"/>
              </w:rPr>
              <w:t>Pamela A. Breuckmann</w:t>
            </w: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M. Clifford</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200"/>
              <w:spacing w:after="0"/>
              <w:rPr>
                <w:sz w:val="20"/>
                <w:szCs w:val="20"/>
                <w:color w:val="auto"/>
              </w:rPr>
            </w:pPr>
            <w:r>
              <w:rPr>
                <w:rFonts w:ascii="Arial" w:cs="Arial" w:eastAsia="Arial" w:hAnsi="Arial"/>
                <w:sz w:val="18"/>
                <w:szCs w:val="18"/>
                <w:color w:val="auto"/>
              </w:rPr>
              <w:t>Stephen M. Clifford</w:t>
            </w: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Andrew Levison</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180"/>
              <w:spacing w:after="0"/>
              <w:rPr>
                <w:sz w:val="20"/>
                <w:szCs w:val="20"/>
                <w:color w:val="auto"/>
              </w:rPr>
            </w:pPr>
            <w:r>
              <w:rPr>
                <w:rFonts w:ascii="Arial" w:cs="Arial" w:eastAsia="Arial" w:hAnsi="Arial"/>
                <w:sz w:val="18"/>
                <w:szCs w:val="18"/>
                <w:color w:val="auto"/>
              </w:rPr>
              <w:t>A. Andrew Levison</w:t>
            </w: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R. Lowden</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200"/>
              <w:spacing w:after="0"/>
              <w:rPr>
                <w:sz w:val="20"/>
                <w:szCs w:val="20"/>
                <w:color w:val="auto"/>
              </w:rPr>
            </w:pPr>
            <w:r>
              <w:rPr>
                <w:rFonts w:ascii="Arial" w:cs="Arial" w:eastAsia="Arial" w:hAnsi="Arial"/>
                <w:sz w:val="18"/>
                <w:szCs w:val="18"/>
                <w:color w:val="auto"/>
              </w:rPr>
              <w:t>John R. Lowden</w:t>
            </w: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F. Morrissey</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200"/>
              <w:spacing w:after="0"/>
              <w:rPr>
                <w:sz w:val="20"/>
                <w:szCs w:val="20"/>
                <w:color w:val="auto"/>
              </w:rPr>
            </w:pPr>
            <w:r>
              <w:rPr>
                <w:rFonts w:ascii="Arial" w:cs="Arial" w:eastAsia="Arial" w:hAnsi="Arial"/>
                <w:sz w:val="18"/>
                <w:szCs w:val="18"/>
                <w:color w:val="auto"/>
              </w:rPr>
              <w:t>Michael F. Morrissey</w:t>
            </w: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E. Ruisinger</w:t>
            </w:r>
          </w:p>
        </w:tc>
        <w:tc>
          <w:tcPr>
            <w:tcW w:w="7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240" w:type="dxa"/>
            <w:vAlign w:val="bottom"/>
          </w:tcPr>
          <w:p>
            <w:pPr>
              <w:ind w:left="180"/>
              <w:spacing w:after="0"/>
              <w:rPr>
                <w:sz w:val="20"/>
                <w:szCs w:val="20"/>
                <w:color w:val="auto"/>
              </w:rPr>
            </w:pPr>
            <w:r>
              <w:rPr>
                <w:rFonts w:ascii="Arial" w:cs="Arial" w:eastAsia="Arial" w:hAnsi="Arial"/>
                <w:sz w:val="18"/>
                <w:szCs w:val="18"/>
                <w:color w:val="auto"/>
              </w:rPr>
              <w:t>William E. Ruisinger</w:t>
            </w:r>
          </w:p>
        </w:tc>
        <w:tc>
          <w:tcPr>
            <w:tcW w:w="7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9"/>
              </w:rPr>
              <w:t>Treasurer (Principal Financial and Accounting Officer)</w:t>
            </w:r>
          </w:p>
        </w:tc>
        <w:tc>
          <w:tcPr>
            <w:tcW w:w="1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FERRELLGAS PARTNERS FINANCE CORP.</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October 15, 2020</w:t>
            </w: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By /s/ James E. Ferrell</w:t>
            </w:r>
          </w:p>
        </w:tc>
      </w:tr>
      <w:tr>
        <w:trPr>
          <w:trHeight w:val="195"/>
        </w:trPr>
        <w:tc>
          <w:tcPr>
            <w:tcW w:w="3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E. Ferrell</w:t>
            </w:r>
          </w:p>
        </w:tc>
      </w:tr>
      <w:tr>
        <w:trPr>
          <w:trHeight w:val="216"/>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Interim Chief Executive Officer and President;</w:t>
            </w:r>
          </w:p>
        </w:tc>
      </w:tr>
      <w:tr>
        <w:trPr>
          <w:trHeight w:val="230"/>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202"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1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E. Ferrell</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Interim Chief Executive Officer and President;</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195"/>
        </w:trPr>
        <w:tc>
          <w:tcPr>
            <w:tcW w:w="2720" w:type="dxa"/>
            <w:vAlign w:val="bottom"/>
          </w:tcPr>
          <w:p>
            <w:pPr>
              <w:ind w:left="200"/>
              <w:spacing w:after="0" w:line="195" w:lineRule="exact"/>
              <w:rPr>
                <w:sz w:val="20"/>
                <w:szCs w:val="20"/>
                <w:color w:val="auto"/>
              </w:rPr>
            </w:pPr>
            <w:r>
              <w:rPr>
                <w:rFonts w:ascii="Arial" w:cs="Arial" w:eastAsia="Arial" w:hAnsi="Arial"/>
                <w:sz w:val="18"/>
                <w:szCs w:val="18"/>
                <w:color w:val="auto"/>
              </w:rPr>
              <w:t>James E. Ferrell</w:t>
            </w:r>
          </w:p>
        </w:tc>
        <w:tc>
          <w:tcPr>
            <w:tcW w:w="240" w:type="dxa"/>
            <w:vAlign w:val="bottom"/>
          </w:tcPr>
          <w:p>
            <w:pPr>
              <w:spacing w:after="0"/>
              <w:rPr>
                <w:sz w:val="16"/>
                <w:szCs w:val="16"/>
                <w:color w:val="auto"/>
              </w:rPr>
            </w:pPr>
          </w:p>
        </w:tc>
        <w:tc>
          <w:tcPr>
            <w:tcW w:w="4320" w:type="dxa"/>
            <w:vAlign w:val="bottom"/>
            <w:gridSpan w:val="2"/>
          </w:tcPr>
          <w:p>
            <w:pPr>
              <w:spacing w:after="0" w:line="195" w:lineRule="exact"/>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16"/>
                <w:szCs w:val="16"/>
                <w:color w:val="auto"/>
              </w:rPr>
            </w:pPr>
          </w:p>
        </w:tc>
      </w:tr>
      <w:tr>
        <w:trPr>
          <w:trHeight w:val="230"/>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tcPr>
          <w:p>
            <w:pPr>
              <w:spacing w:after="0"/>
              <w:rPr>
                <w:sz w:val="20"/>
                <w:szCs w:val="20"/>
                <w:color w:val="auto"/>
              </w:rPr>
            </w:pPr>
          </w:p>
        </w:tc>
      </w:tr>
      <w:tr>
        <w:trPr>
          <w:trHeight w:val="43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E. Ruisinger</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180"/>
              <w:spacing w:after="0"/>
              <w:rPr>
                <w:sz w:val="20"/>
                <w:szCs w:val="20"/>
                <w:color w:val="auto"/>
              </w:rPr>
            </w:pPr>
            <w:r>
              <w:rPr>
                <w:rFonts w:ascii="Arial" w:cs="Arial" w:eastAsia="Arial" w:hAnsi="Arial"/>
                <w:sz w:val="18"/>
                <w:szCs w:val="18"/>
                <w:color w:val="auto"/>
              </w:rPr>
              <w:t>William E. Ruisinger</w:t>
            </w:r>
          </w:p>
        </w:tc>
        <w:tc>
          <w:tcPr>
            <w:tcW w:w="2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Treasurer (Principal Financial and Accounting Officer)</w:t>
            </w:r>
          </w:p>
        </w:tc>
        <w:tc>
          <w:tcPr>
            <w:tcW w:w="1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FERRELLGAS, L.P.</w:t>
            </w:r>
          </w:p>
        </w:tc>
      </w:tr>
      <w:tr>
        <w:trPr>
          <w:trHeight w:val="418"/>
        </w:trPr>
        <w:tc>
          <w:tcPr>
            <w:tcW w:w="3120" w:type="dxa"/>
            <w:vAlign w:val="bottom"/>
          </w:tcPr>
          <w:p>
            <w:pPr>
              <w:spacing w:after="0"/>
              <w:rPr>
                <w:sz w:val="24"/>
                <w:szCs w:val="24"/>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w w:val="93"/>
              </w:rPr>
              <w:t>By Ferrellgas, Inc., Ferrellgas GP II, LLC and Ferrellgas GP</w:t>
            </w:r>
          </w:p>
        </w:tc>
      </w:tr>
      <w:tr>
        <w:trPr>
          <w:trHeight w:val="230"/>
        </w:trPr>
        <w:tc>
          <w:tcPr>
            <w:tcW w:w="3120" w:type="dxa"/>
            <w:vAlign w:val="bottom"/>
          </w:tcPr>
          <w:p>
            <w:pPr>
              <w:spacing w:after="0"/>
              <w:rPr>
                <w:sz w:val="20"/>
                <w:szCs w:val="20"/>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III, LLC (General Partners)</w:t>
            </w:r>
          </w:p>
        </w:tc>
      </w:tr>
      <w:tr>
        <w:trPr>
          <w:trHeight w:val="648"/>
        </w:trPr>
        <w:tc>
          <w:tcPr>
            <w:tcW w:w="3120" w:type="dxa"/>
            <w:vAlign w:val="bottom"/>
          </w:tcPr>
          <w:p>
            <w:pPr>
              <w:spacing w:after="0"/>
              <w:rPr>
                <w:sz w:val="20"/>
                <w:szCs w:val="20"/>
                <w:color w:val="auto"/>
              </w:rPr>
            </w:pPr>
            <w:r>
              <w:rPr>
                <w:rFonts w:ascii="Arial" w:cs="Arial" w:eastAsia="Arial" w:hAnsi="Arial"/>
                <w:sz w:val="18"/>
                <w:szCs w:val="18"/>
                <w:color w:val="auto"/>
              </w:rPr>
              <w:t>Date:  October 15, 2020</w:t>
            </w: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By /s/ James E. Ferrell</w:t>
            </w:r>
          </w:p>
        </w:tc>
      </w:tr>
      <w:tr>
        <w:trPr>
          <w:trHeight w:val="195"/>
        </w:trPr>
        <w:tc>
          <w:tcPr>
            <w:tcW w:w="3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E. Ferrell</w:t>
            </w:r>
          </w:p>
        </w:tc>
      </w:tr>
      <w:tr>
        <w:trPr>
          <w:trHeight w:val="216"/>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Interim Chief Executive Officer and President;</w:t>
            </w:r>
          </w:p>
        </w:tc>
      </w:tr>
      <w:tr>
        <w:trPr>
          <w:trHeight w:val="230"/>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202"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1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E. Ferrell</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Interim Chief Executive Officer and President;</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200"/>
              <w:spacing w:after="0"/>
              <w:rPr>
                <w:sz w:val="20"/>
                <w:szCs w:val="20"/>
                <w:color w:val="auto"/>
              </w:rPr>
            </w:pPr>
            <w:r>
              <w:rPr>
                <w:rFonts w:ascii="Arial" w:cs="Arial" w:eastAsia="Arial" w:hAnsi="Arial"/>
                <w:sz w:val="18"/>
                <w:szCs w:val="18"/>
                <w:color w:val="auto"/>
              </w:rPr>
              <w:t>James E. Ferrell</w:t>
            </w:r>
          </w:p>
        </w:tc>
        <w:tc>
          <w:tcPr>
            <w:tcW w:w="2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tcPr>
          <w:p>
            <w:pPr>
              <w:spacing w:after="0"/>
              <w:rPr>
                <w:sz w:val="19"/>
                <w:szCs w:val="19"/>
                <w:color w:val="auto"/>
              </w:rPr>
            </w:pPr>
          </w:p>
        </w:tc>
      </w:tr>
      <w:tr>
        <w:trPr>
          <w:trHeight w:val="41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Pamela A. Breuckmann</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200"/>
              <w:spacing w:after="0"/>
              <w:rPr>
                <w:sz w:val="20"/>
                <w:szCs w:val="20"/>
                <w:color w:val="auto"/>
              </w:rPr>
            </w:pPr>
            <w:r>
              <w:rPr>
                <w:rFonts w:ascii="Arial" w:cs="Arial" w:eastAsia="Arial" w:hAnsi="Arial"/>
                <w:sz w:val="18"/>
                <w:szCs w:val="18"/>
                <w:color w:val="auto"/>
              </w:rPr>
              <w:t>Pamela A. Breuckmann</w:t>
            </w:r>
          </w:p>
        </w:tc>
        <w:tc>
          <w:tcPr>
            <w:tcW w:w="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M. Clifford</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200"/>
              <w:spacing w:after="0"/>
              <w:rPr>
                <w:sz w:val="20"/>
                <w:szCs w:val="20"/>
                <w:color w:val="auto"/>
              </w:rPr>
            </w:pPr>
            <w:r>
              <w:rPr>
                <w:rFonts w:ascii="Arial" w:cs="Arial" w:eastAsia="Arial" w:hAnsi="Arial"/>
                <w:sz w:val="18"/>
                <w:szCs w:val="18"/>
                <w:color w:val="auto"/>
              </w:rPr>
              <w:t>Stephen M. Clifford</w:t>
            </w:r>
          </w:p>
        </w:tc>
        <w:tc>
          <w:tcPr>
            <w:tcW w:w="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Andrew Levison</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180"/>
              <w:spacing w:after="0"/>
              <w:rPr>
                <w:sz w:val="20"/>
                <w:szCs w:val="20"/>
                <w:color w:val="auto"/>
              </w:rPr>
            </w:pPr>
            <w:r>
              <w:rPr>
                <w:rFonts w:ascii="Arial" w:cs="Arial" w:eastAsia="Arial" w:hAnsi="Arial"/>
                <w:sz w:val="18"/>
                <w:szCs w:val="18"/>
                <w:color w:val="auto"/>
              </w:rPr>
              <w:t>A. Andrew Levison</w:t>
            </w:r>
          </w:p>
        </w:tc>
        <w:tc>
          <w:tcPr>
            <w:tcW w:w="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R. Lowden</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200"/>
              <w:spacing w:after="0"/>
              <w:rPr>
                <w:sz w:val="20"/>
                <w:szCs w:val="20"/>
                <w:color w:val="auto"/>
              </w:rPr>
            </w:pPr>
            <w:r>
              <w:rPr>
                <w:rFonts w:ascii="Arial" w:cs="Arial" w:eastAsia="Arial" w:hAnsi="Arial"/>
                <w:sz w:val="18"/>
                <w:szCs w:val="18"/>
                <w:color w:val="auto"/>
              </w:rPr>
              <w:t>John R. Lowden</w:t>
            </w:r>
          </w:p>
        </w:tc>
        <w:tc>
          <w:tcPr>
            <w:tcW w:w="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F. Morrissey</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200"/>
              <w:spacing w:after="0"/>
              <w:rPr>
                <w:sz w:val="20"/>
                <w:szCs w:val="20"/>
                <w:color w:val="auto"/>
              </w:rPr>
            </w:pPr>
            <w:r>
              <w:rPr>
                <w:rFonts w:ascii="Arial" w:cs="Arial" w:eastAsia="Arial" w:hAnsi="Arial"/>
                <w:sz w:val="18"/>
                <w:szCs w:val="18"/>
                <w:color w:val="auto"/>
              </w:rPr>
              <w:t>Michael F. Morrissey</w:t>
            </w:r>
          </w:p>
        </w:tc>
        <w:tc>
          <w:tcPr>
            <w:tcW w:w="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4"/>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E. Ruisinger</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180"/>
              <w:spacing w:after="0"/>
              <w:rPr>
                <w:sz w:val="20"/>
                <w:szCs w:val="20"/>
                <w:color w:val="auto"/>
              </w:rPr>
            </w:pPr>
            <w:r>
              <w:rPr>
                <w:rFonts w:ascii="Arial" w:cs="Arial" w:eastAsia="Arial" w:hAnsi="Arial"/>
                <w:sz w:val="18"/>
                <w:szCs w:val="18"/>
                <w:color w:val="auto"/>
              </w:rPr>
              <w:t>William E. Ruisinger</w:t>
            </w:r>
          </w:p>
        </w:tc>
        <w:tc>
          <w:tcPr>
            <w:tcW w:w="2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Treasurer (Principal Financial and Accounting Officer)</w:t>
            </w:r>
          </w:p>
        </w:tc>
        <w:tc>
          <w:tcPr>
            <w:tcW w:w="1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FERRELLGAS FINANCE CORP.</w:t>
            </w:r>
          </w:p>
        </w:tc>
      </w:tr>
      <w:tr>
        <w:trPr>
          <w:trHeight w:val="648"/>
        </w:trPr>
        <w:tc>
          <w:tcPr>
            <w:tcW w:w="3120" w:type="dxa"/>
            <w:vAlign w:val="bottom"/>
          </w:tcPr>
          <w:p>
            <w:pPr>
              <w:spacing w:after="0"/>
              <w:rPr>
                <w:sz w:val="20"/>
                <w:szCs w:val="20"/>
                <w:color w:val="auto"/>
              </w:rPr>
            </w:pPr>
            <w:r>
              <w:rPr>
                <w:rFonts w:ascii="Arial" w:cs="Arial" w:eastAsia="Arial" w:hAnsi="Arial"/>
                <w:sz w:val="18"/>
                <w:szCs w:val="18"/>
                <w:color w:val="auto"/>
              </w:rPr>
              <w:t>Date:  October 15, 2020</w:t>
            </w:r>
          </w:p>
        </w:tc>
        <w:tc>
          <w:tcPr>
            <w:tcW w:w="5780" w:type="dxa"/>
            <w:vAlign w:val="bottom"/>
            <w:gridSpan w:val="2"/>
          </w:tcPr>
          <w:p>
            <w:pPr>
              <w:ind w:left="1320"/>
              <w:spacing w:after="0"/>
              <w:rPr>
                <w:sz w:val="20"/>
                <w:szCs w:val="20"/>
                <w:color w:val="auto"/>
              </w:rPr>
            </w:pPr>
            <w:r>
              <w:rPr>
                <w:rFonts w:ascii="Arial" w:cs="Arial" w:eastAsia="Arial" w:hAnsi="Arial"/>
                <w:sz w:val="18"/>
                <w:szCs w:val="18"/>
                <w:color w:val="auto"/>
              </w:rPr>
              <w:t>By /s/ James E. Ferrell</w:t>
            </w:r>
          </w:p>
        </w:tc>
      </w:tr>
      <w:tr>
        <w:trPr>
          <w:trHeight w:val="195"/>
        </w:trPr>
        <w:tc>
          <w:tcPr>
            <w:tcW w:w="3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E. Ferrell</w:t>
            </w:r>
          </w:p>
        </w:tc>
      </w:tr>
      <w:tr>
        <w:trPr>
          <w:trHeight w:val="216"/>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Interim Chief Executive Officer and President;</w:t>
            </w:r>
          </w:p>
        </w:tc>
      </w:tr>
      <w:tr>
        <w:trPr>
          <w:trHeight w:val="230"/>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202"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1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E. Ferrell</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Interim Chief Executive Officer and President;</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195"/>
        </w:trPr>
        <w:tc>
          <w:tcPr>
            <w:tcW w:w="2720" w:type="dxa"/>
            <w:vAlign w:val="bottom"/>
          </w:tcPr>
          <w:p>
            <w:pPr>
              <w:ind w:left="200"/>
              <w:spacing w:after="0" w:line="195" w:lineRule="exact"/>
              <w:rPr>
                <w:sz w:val="20"/>
                <w:szCs w:val="20"/>
                <w:color w:val="auto"/>
              </w:rPr>
            </w:pPr>
            <w:r>
              <w:rPr>
                <w:rFonts w:ascii="Arial" w:cs="Arial" w:eastAsia="Arial" w:hAnsi="Arial"/>
                <w:sz w:val="18"/>
                <w:szCs w:val="18"/>
                <w:color w:val="auto"/>
              </w:rPr>
              <w:t>James E. Ferrell</w:t>
            </w:r>
          </w:p>
        </w:tc>
        <w:tc>
          <w:tcPr>
            <w:tcW w:w="240" w:type="dxa"/>
            <w:vAlign w:val="bottom"/>
          </w:tcPr>
          <w:p>
            <w:pPr>
              <w:spacing w:after="0"/>
              <w:rPr>
                <w:sz w:val="16"/>
                <w:szCs w:val="16"/>
                <w:color w:val="auto"/>
              </w:rPr>
            </w:pPr>
          </w:p>
        </w:tc>
        <w:tc>
          <w:tcPr>
            <w:tcW w:w="4320" w:type="dxa"/>
            <w:vAlign w:val="bottom"/>
            <w:gridSpan w:val="2"/>
          </w:tcPr>
          <w:p>
            <w:pPr>
              <w:spacing w:after="0" w:line="195" w:lineRule="exact"/>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16"/>
                <w:szCs w:val="16"/>
                <w:color w:val="auto"/>
              </w:rPr>
            </w:pPr>
          </w:p>
        </w:tc>
      </w:tr>
      <w:tr>
        <w:trPr>
          <w:trHeight w:val="230"/>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tcPr>
          <w:p>
            <w:pPr>
              <w:spacing w:after="0"/>
              <w:rPr>
                <w:sz w:val="20"/>
                <w:szCs w:val="20"/>
                <w:color w:val="auto"/>
              </w:rPr>
            </w:pPr>
          </w:p>
        </w:tc>
      </w:tr>
      <w:tr>
        <w:trPr>
          <w:trHeight w:val="43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E. Ruisinger</w:t>
            </w:r>
          </w:p>
        </w:tc>
        <w:tc>
          <w:tcPr>
            <w:tcW w:w="2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10/15/2020</w:t>
            </w:r>
          </w:p>
        </w:tc>
      </w:tr>
      <w:tr>
        <w:trPr>
          <w:trHeight w:val="224"/>
        </w:trPr>
        <w:tc>
          <w:tcPr>
            <w:tcW w:w="2720" w:type="dxa"/>
            <w:vAlign w:val="bottom"/>
          </w:tcPr>
          <w:p>
            <w:pPr>
              <w:ind w:left="180"/>
              <w:spacing w:after="0"/>
              <w:rPr>
                <w:sz w:val="20"/>
                <w:szCs w:val="20"/>
                <w:color w:val="auto"/>
              </w:rPr>
            </w:pPr>
            <w:r>
              <w:rPr>
                <w:rFonts w:ascii="Arial" w:cs="Arial" w:eastAsia="Arial" w:hAnsi="Arial"/>
                <w:sz w:val="18"/>
                <w:szCs w:val="18"/>
                <w:color w:val="auto"/>
              </w:rPr>
              <w:t>William E. Ruisinger</w:t>
            </w:r>
          </w:p>
        </w:tc>
        <w:tc>
          <w:tcPr>
            <w:tcW w:w="2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Treasurer (Principal Financial and Accounting Officer)</w:t>
            </w:r>
          </w:p>
        </w:tc>
        <w:tc>
          <w:tcPr>
            <w:tcW w:w="1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37"/>
        </w:trPr>
        <w:tc>
          <w:tcPr>
            <w:tcW w:w="8340" w:type="dxa"/>
            <w:vAlign w:val="bottom"/>
          </w:tcPr>
          <w:p>
            <w:pPr>
              <w:spacing w:after="0"/>
              <w:rPr>
                <w:sz w:val="20"/>
                <w:szCs w:val="20"/>
                <w:color w:val="auto"/>
              </w:rPr>
            </w:pPr>
            <w:r>
              <w:rPr>
                <w:rFonts w:ascii="Arial" w:cs="Arial" w:eastAsia="Arial" w:hAnsi="Arial"/>
                <w:sz w:val="18"/>
                <w:szCs w:val="18"/>
                <w:b w:val="1"/>
                <w:bCs w:val="1"/>
                <w:color w:val="auto"/>
              </w:rPr>
              <w:t>Ferrellgas Partners, L.P. and Subsidiaries</w:t>
            </w:r>
          </w:p>
        </w:tc>
        <w:tc>
          <w:tcPr>
            <w:tcW w:w="560" w:type="dxa"/>
            <w:vAlign w:val="bottom"/>
          </w:tcPr>
          <w:p>
            <w:pPr>
              <w:spacing w:after="0"/>
              <w:rPr>
                <w:sz w:val="20"/>
                <w:szCs w:val="20"/>
                <w:color w:val="auto"/>
              </w:rPr>
            </w:pP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Report of Independent Registered Public Accounting Firm - Grant Thornton LLP</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Balance Sheets - July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Consolidated Statements of Operations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Consolidated Statements of Comprehensive Income (Loss)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6"/>
        </w:trPr>
        <w:tc>
          <w:tcPr>
            <w:tcW w:w="83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Consolidated Statements of Partners’ Deficit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Statements of Cash Flows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513"/>
        </w:trPr>
        <w:tc>
          <w:tcPr>
            <w:tcW w:w="8340" w:type="dxa"/>
            <w:vAlign w:val="bottom"/>
          </w:tcPr>
          <w:p>
            <w:pPr>
              <w:spacing w:after="0"/>
              <w:rPr>
                <w:sz w:val="20"/>
                <w:szCs w:val="20"/>
                <w:color w:val="auto"/>
              </w:rPr>
            </w:pPr>
            <w:r>
              <w:rPr>
                <w:rFonts w:ascii="Arial" w:cs="Arial" w:eastAsia="Arial" w:hAnsi="Arial"/>
                <w:sz w:val="18"/>
                <w:szCs w:val="18"/>
                <w:b w:val="1"/>
                <w:bCs w:val="1"/>
                <w:color w:val="auto"/>
              </w:rPr>
              <w:t>Ferrellgas Partners Finance Corp.</w:t>
            </w:r>
          </w:p>
        </w:tc>
        <w:tc>
          <w:tcPr>
            <w:tcW w:w="560" w:type="dxa"/>
            <w:vAlign w:val="bottom"/>
          </w:tcPr>
          <w:p>
            <w:pPr>
              <w:spacing w:after="0"/>
              <w:rPr>
                <w:sz w:val="24"/>
                <w:szCs w:val="24"/>
                <w:color w:val="auto"/>
              </w:rPr>
            </w:pP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Report of Independent Registered Public Accounting Firm - Grant Thornton LLP</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F-43</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Balance Sheets - July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F-44</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Statements of Operations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F-45</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Statements of Stockholder’s Equity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56"/>
        </w:trPr>
        <w:tc>
          <w:tcPr>
            <w:tcW w:w="8340" w:type="dxa"/>
            <w:vAlign w:val="bottom"/>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Statements of Cash Flows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Notes to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513"/>
        </w:trPr>
        <w:tc>
          <w:tcPr>
            <w:tcW w:w="8340" w:type="dxa"/>
            <w:vAlign w:val="bottom"/>
          </w:tcPr>
          <w:p>
            <w:pPr>
              <w:spacing w:after="0"/>
              <w:rPr>
                <w:sz w:val="20"/>
                <w:szCs w:val="20"/>
                <w:color w:val="auto"/>
              </w:rPr>
            </w:pPr>
            <w:r>
              <w:rPr>
                <w:rFonts w:ascii="Arial" w:cs="Arial" w:eastAsia="Arial" w:hAnsi="Arial"/>
                <w:sz w:val="18"/>
                <w:szCs w:val="18"/>
                <w:b w:val="1"/>
                <w:bCs w:val="1"/>
                <w:color w:val="auto"/>
              </w:rPr>
              <w:t>Ferrellgas, L.P. and Subsidiaries</w:t>
            </w:r>
          </w:p>
        </w:tc>
        <w:tc>
          <w:tcPr>
            <w:tcW w:w="560" w:type="dxa"/>
            <w:vAlign w:val="bottom"/>
          </w:tcPr>
          <w:p>
            <w:pPr>
              <w:spacing w:after="0"/>
              <w:rPr>
                <w:sz w:val="24"/>
                <w:szCs w:val="24"/>
                <w:color w:val="auto"/>
              </w:rPr>
            </w:pP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Report of Independent Registered Public Accounting Firm - Grant Thornton LLP</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F-50</w:t>
            </w:r>
          </w:p>
        </w:tc>
      </w:tr>
      <w:tr>
        <w:trPr>
          <w:trHeight w:val="256"/>
        </w:trPr>
        <w:tc>
          <w:tcPr>
            <w:tcW w:w="834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Consolidated Balance Sheets - July 31, 2020 and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Consolidated Statements of Operations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Consolidated Statements of Comprehensive Income (Loss)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56"/>
        </w:trPr>
        <w:tc>
          <w:tcPr>
            <w:tcW w:w="834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Consolidated Statements of Partners’ Deficit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Consolidated Statements of Cash Flows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56"/>
        </w:trPr>
        <w:tc>
          <w:tcPr>
            <w:tcW w:w="834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513"/>
        </w:trPr>
        <w:tc>
          <w:tcPr>
            <w:tcW w:w="8340" w:type="dxa"/>
            <w:vAlign w:val="bottom"/>
          </w:tcPr>
          <w:p>
            <w:pPr>
              <w:spacing w:after="0"/>
              <w:rPr>
                <w:sz w:val="20"/>
                <w:szCs w:val="20"/>
                <w:color w:val="auto"/>
              </w:rPr>
            </w:pPr>
            <w:r>
              <w:rPr>
                <w:rFonts w:ascii="Arial" w:cs="Arial" w:eastAsia="Arial" w:hAnsi="Arial"/>
                <w:sz w:val="18"/>
                <w:szCs w:val="18"/>
                <w:b w:val="1"/>
                <w:bCs w:val="1"/>
                <w:color w:val="auto"/>
              </w:rPr>
              <w:t>Ferrellgas Finance Corp.</w:t>
            </w:r>
          </w:p>
        </w:tc>
        <w:tc>
          <w:tcPr>
            <w:tcW w:w="560" w:type="dxa"/>
            <w:vAlign w:val="bottom"/>
          </w:tcPr>
          <w:p>
            <w:pPr>
              <w:spacing w:after="0"/>
              <w:rPr>
                <w:sz w:val="24"/>
                <w:szCs w:val="24"/>
                <w:color w:val="auto"/>
              </w:rPr>
            </w:pP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Report of Independent Registered Public Accounting Firm - Grant Thornton LLP</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F-94</w:t>
            </w:r>
          </w:p>
        </w:tc>
      </w:tr>
      <w:tr>
        <w:trPr>
          <w:trHeight w:val="256"/>
        </w:trPr>
        <w:tc>
          <w:tcPr>
            <w:tcW w:w="8340" w:type="dxa"/>
            <w:vAlign w:val="bottom"/>
          </w:tcPr>
          <w:p>
            <w:pPr>
              <w:spacing w:after="0"/>
              <w:rPr>
                <w:rFonts w:ascii="Arial" w:cs="Arial" w:eastAsia="Arial" w:hAnsi="Arial"/>
                <w:sz w:val="18"/>
                <w:szCs w:val="18"/>
                <w:color w:val="0000EE"/>
              </w:rPr>
            </w:pPr>
            <w:hyperlink w:anchor="page203">
              <w:r>
                <w:rPr>
                  <w:rFonts w:ascii="Arial" w:cs="Arial" w:eastAsia="Arial" w:hAnsi="Arial"/>
                  <w:sz w:val="18"/>
                  <w:szCs w:val="18"/>
                  <w:u w:val="single" w:color="auto"/>
                  <w:color w:val="0000EE"/>
                </w:rPr>
                <w:t>Balance Sheets - July 31, 2020 and 201</w:t>
              </w:r>
            </w:hyperlink>
            <w:r>
              <w:rPr>
                <w:rFonts w:ascii="Arial" w:cs="Arial" w:eastAsia="Arial" w:hAnsi="Arial"/>
                <w:sz w:val="18"/>
                <w:szCs w:val="18"/>
                <w:color w:val="000000"/>
              </w:rPr>
              <w:t>9</w:t>
            </w:r>
          </w:p>
        </w:tc>
        <w:tc>
          <w:tcPr>
            <w:tcW w:w="560" w:type="dxa"/>
            <w:vAlign w:val="bottom"/>
          </w:tcPr>
          <w:p>
            <w:pPr>
              <w:jc w:val="right"/>
              <w:spacing w:after="0"/>
              <w:rPr>
                <w:sz w:val="20"/>
                <w:szCs w:val="20"/>
                <w:color w:val="auto"/>
              </w:rPr>
            </w:pPr>
            <w:r>
              <w:rPr>
                <w:rFonts w:ascii="Arial" w:cs="Arial" w:eastAsia="Arial" w:hAnsi="Arial"/>
                <w:sz w:val="18"/>
                <w:szCs w:val="18"/>
                <w:color w:val="auto"/>
              </w:rPr>
              <w:t>F-95</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Statements of Operations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F-96</w:t>
            </w:r>
          </w:p>
        </w:tc>
      </w:tr>
      <w:tr>
        <w:trPr>
          <w:trHeight w:val="256"/>
        </w:trPr>
        <w:tc>
          <w:tcPr>
            <w:tcW w:w="8340" w:type="dxa"/>
            <w:vAlign w:val="bottom"/>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Statements of Stockholder’s Equity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F-97</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Statements of Cash Flows - Years ended July 31, 2020, 2019 and 2018</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F-98</w:t>
            </w:r>
          </w:p>
        </w:tc>
      </w:tr>
      <w:tr>
        <w:trPr>
          <w:trHeight w:val="257"/>
        </w:trPr>
        <w:tc>
          <w:tcPr>
            <w:tcW w:w="8340" w:type="dxa"/>
            <w:vAlign w:val="bottom"/>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Notes to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Partners, L.P.</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0" w:lineRule="exact"/>
        <w:rPr>
          <w:sz w:val="20"/>
          <w:szCs w:val="20"/>
          <w:color w:val="auto"/>
        </w:rPr>
      </w:pPr>
    </w:p>
    <w:p>
      <w:pPr>
        <w:ind w:left="60" w:right="259"/>
        <w:spacing w:after="0" w:line="254" w:lineRule="auto"/>
        <w:rPr>
          <w:sz w:val="20"/>
          <w:szCs w:val="20"/>
          <w:color w:val="auto"/>
        </w:rPr>
      </w:pPr>
      <w:r>
        <w:rPr>
          <w:rFonts w:ascii="Arial" w:cs="Arial" w:eastAsia="Arial" w:hAnsi="Arial"/>
          <w:sz w:val="18"/>
          <w:szCs w:val="18"/>
          <w:color w:val="auto"/>
        </w:rPr>
        <w:t>We have audited the accompanying consolidated balance sheets of Ferrellgas Partners, L.P. (a Delaware limited partnership) and subsidiaries (the “Partnership”) as of July 31, 2020 and 2019, the related consolidated statements of operations, comprehensive income (loss), partners’ deficit, and cash flows for each of the three years in the period ended July 31, 2020, and the related notes and financial statement schedules (collectively referred to as the “financial statements”). In our opinion, the financial statements present fairly, in all material respects, the financial position of the Partnership as of July 31, 2020 and 2019, and the results of its operations and its cash flows for each of the three years in the period ended July 31, 2020, in conformity with accounting principles generally accepted in the United States of America.</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7"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accompanying financial statements have been prepared assuming that the Partnership will continue as a going concern. As discussed in Note A of the financial statements, as of July 31, 2020, the Partnership has $357.0 million in unsecured notes due June 15, 2020, which the Partnership failed to repay, and $500.0 million in unsecured notes of its consolidated subsidiary, Ferellgas, L.P., due May 1, 2021, that are each classified as current in the consolidated financial statements and its current liabilities exceeded its current assets by $546.0 million and its total liabilities exceeded its total assets by $1,208.3 million. The Partnership’s business plan, which is also described in Note A, contemplates restructuring or refinancing its long-term arrangements and reducing outstanding indebtedness. The Partnership’s ability to achieve the foregoing elements of its business plan, which may be necessary to permit the realization of assets and satisfaction of liabilities in the ordinary course of business, is uncertain and raises substantial doubt about its ability to continue as a going concern. The financial statements do not include any adjustments that might result from the outcome of this uncertainty.</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Partnership’s auditor since 2013.</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15,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July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0"/>
              </w:rPr>
              <w:t>July 31,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Cash and cash equivalents (including $95,759 and $0 of restricted cash at July 31, 2020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2019, 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333,761</w:t>
            </w:r>
          </w:p>
        </w:tc>
        <w:tc>
          <w:tcPr>
            <w:tcW w:w="1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w w:val="98"/>
              </w:rPr>
              <w:t>Accounts and notes receivable, net (including $103,703 and $106,145 of accounts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w w:val="97"/>
              </w:rPr>
              <w:t>receivable pledged as collateral at July 31, 2020 and 2019, respectively, and net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w w:val="98"/>
              </w:rPr>
              <w:t>allowance for doubtful accounts of $14,124 and $2,463 at July 31, 2020 and 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101,438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1,668,190</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LIABILITIES AND PARTNERS' DEFICIT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33,944</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Collateralized note payable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1,089,850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1,646,396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O)</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deficit: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Common unitholders (97,152,665 units outstanding at July 31, 2020 and 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(1,126,452)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(1,046,245)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General partner unitholder (989,926 units outstanding at July 31, 2020 and 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Ferrellgas Partners, L.P. partners' deficit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(1,200,042)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partners' deficit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(1,208,268)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(1,138,938)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Total liabilities and partners' deficit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1,668,190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631"/>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Propane and other gas liquids sales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1,415,791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1,608,858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1,642,976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Midstream operations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1,497,826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1,684,392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2,073,142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Cost of sales - propane and other gas liquids sales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902,516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 - midstream operations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Cost of sales - 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expense - personnel, vehicle, plant and other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Operating expense - equipment lease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General and administrative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employee stock ownership plan compensation charge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Asset impairments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asset sales and disposals</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Ferrellgas Partners, L.P.</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General partner's interest in net loss</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unitholders' interest in net loss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unit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distributions declared per common unit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8"/>
          <w:szCs w:val="18"/>
          <w:b w:val="1"/>
          <w:bCs w:val="1"/>
          <w:color w:val="auto"/>
        </w:rPr>
        <w:t>FERRELLGAS PARTNERS, L.P. AND SUBSIDIARIES CONSOLIDATED STATEMENTS OF COMPREHENSIVE INCOME (LOSS) (in thousands)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00" w:type="dxa"/>
            <w:vAlign w:val="bottom"/>
            <w:gridSpan w:val="7"/>
          </w:tcPr>
          <w:p>
            <w:pPr>
              <w:ind w:left="540"/>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(83,002)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 (64,545)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(256,825)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value of risk management derivatives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(22,872)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(48,184)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Arial" w:cs="Arial" w:eastAsia="Arial" w:hAnsi="Arial"/>
                <w:sz w:val="18"/>
                <w:szCs w:val="18"/>
                <w:color w:val="auto"/>
              </w:rPr>
              <w:t>Reclassification of (gains) losses on derivatives to earnings, net</w:t>
            </w:r>
          </w:p>
        </w:tc>
        <w:tc>
          <w:tcPr>
            <w:tcW w:w="780" w:type="dxa"/>
            <w:vAlign w:val="bottom"/>
          </w:tcPr>
          <w:p>
            <w:pPr>
              <w:jc w:val="right"/>
              <w:spacing w:after="0"/>
              <w:rPr>
                <w:sz w:val="20"/>
                <w:szCs w:val="20"/>
                <w:color w:val="auto"/>
              </w:rPr>
            </w:pPr>
            <w:r>
              <w:rPr>
                <w:rFonts w:ascii="Arial" w:cs="Arial" w:eastAsia="Arial" w:hAnsi="Arial"/>
                <w:sz w:val="18"/>
                <w:szCs w:val="18"/>
                <w:color w:val="auto"/>
              </w:rPr>
              <w:t>35,315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Pension liability adjustment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12,334</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(35,380)</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Less: Comprehensive loss attributable to noncontrolling interest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Ferrellgas Partners, L.P.</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(70,290)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(99,269)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FERRELLGAS PARTNERS, L.P. AND SUBSIDIARIES CONSOLIDATED STATEMENTS OF PARTNERS’ DEFICIT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Number of units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Total Ferrellgas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10"/>
        </w:trPr>
        <w:tc>
          <w:tcPr>
            <w:tcW w:w="2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General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w w:val="98"/>
              </w:rPr>
              <w:t>General</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center"/>
              <w:ind w:right="97"/>
              <w:spacing w:after="0" w:line="110"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6"/>
              </w:rPr>
              <w:t>Partner, L.P.</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partner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partner</w:t>
            </w: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partners’</w:t>
            </w:r>
          </w:p>
        </w:tc>
        <w:tc>
          <w:tcPr>
            <w:tcW w:w="100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Total partners’</w:t>
            </w:r>
          </w:p>
        </w:tc>
      </w:tr>
      <w:tr>
        <w:trPr>
          <w:trHeight w:val="153"/>
        </w:trPr>
        <w:tc>
          <w:tcPr>
            <w:tcW w:w="20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unitholders</w:t>
            </w:r>
          </w:p>
        </w:tc>
        <w:tc>
          <w:tcPr>
            <w:tcW w:w="72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8"/>
              </w:rPr>
              <w:t>unitholder</w:t>
            </w: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unitholders</w:t>
            </w:r>
          </w:p>
        </w:tc>
        <w:tc>
          <w:tcPr>
            <w:tcW w:w="76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unitholder</w:t>
            </w:r>
          </w:p>
        </w:tc>
        <w:tc>
          <w:tcPr>
            <w:tcW w:w="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deficit</w:t>
            </w:r>
          </w:p>
        </w:tc>
      </w:tr>
      <w:tr>
        <w:trPr>
          <w:trHeight w:val="129"/>
        </w:trPr>
        <w:tc>
          <w:tcPr>
            <w:tcW w:w="2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July 31, 2017</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97,152.7</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989.9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(701,188)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(66,991)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14,601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(753,578)</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(757,510)</w:t>
            </w:r>
          </w:p>
        </w:tc>
      </w:tr>
      <w:tr>
        <w:trPr>
          <w:trHeight w:val="121"/>
        </w:trPr>
        <w:tc>
          <w:tcPr>
            <w:tcW w:w="2020" w:type="dxa"/>
            <w:vAlign w:val="bottom"/>
          </w:tcPr>
          <w:p>
            <w:pPr>
              <w:spacing w:after="0" w:line="121" w:lineRule="exact"/>
              <w:rPr>
                <w:sz w:val="20"/>
                <w:szCs w:val="20"/>
                <w:color w:val="auto"/>
              </w:rPr>
            </w:pPr>
            <w:r>
              <w:rPr>
                <w:rFonts w:ascii="Arial" w:cs="Arial" w:eastAsia="Arial" w:hAnsi="Arial"/>
                <w:sz w:val="13"/>
                <w:szCs w:val="13"/>
                <w:color w:val="auto"/>
                <w:w w:val="93"/>
              </w:rPr>
              <w:t>Contributions in connection with non-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2020" w:type="dxa"/>
            <w:vAlign w:val="bottom"/>
          </w:tcPr>
          <w:p>
            <w:pPr>
              <w:spacing w:after="0" w:line="135" w:lineRule="exact"/>
              <w:rPr>
                <w:sz w:val="20"/>
                <w:szCs w:val="20"/>
                <w:color w:val="auto"/>
              </w:rPr>
            </w:pPr>
            <w:r>
              <w:rPr>
                <w:rFonts w:ascii="Arial" w:cs="Arial" w:eastAsia="Arial" w:hAnsi="Arial"/>
                <w:sz w:val="13"/>
                <w:szCs w:val="13"/>
                <w:color w:val="auto"/>
                <w:w w:val="92"/>
              </w:rPr>
              <w:t>cash ESOP and stock and unit-based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compensation charges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13,582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13,859</w:t>
            </w:r>
          </w:p>
        </w:tc>
      </w:tr>
      <w:tr>
        <w:trPr>
          <w:trHeight w:val="135"/>
        </w:trPr>
        <w:tc>
          <w:tcPr>
            <w:tcW w:w="2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(38,862)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(39,254)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(39,970)</w:t>
            </w:r>
          </w:p>
        </w:tc>
      </w:tr>
      <w:tr>
        <w:trPr>
          <w:trHeight w:val="135"/>
        </w:trPr>
        <w:tc>
          <w:tcPr>
            <w:tcW w:w="20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(252,035)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(2,546)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(254,581)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(2,244)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(256,825)</w:t>
            </w:r>
          </w:p>
        </w:tc>
      </w:tr>
      <w:tr>
        <w:trPr>
          <w:trHeight w:val="135"/>
        </w:trPr>
        <w:tc>
          <w:tcPr>
            <w:tcW w:w="2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5,909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5,969</w:t>
            </w:r>
          </w:p>
        </w:tc>
      </w:tr>
      <w:tr>
        <w:trPr>
          <w:trHeight w:val="129"/>
        </w:trPr>
        <w:tc>
          <w:tcPr>
            <w:tcW w:w="20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July 31, 2018</w:t>
            </w: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97,152.7</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989.9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(978,503)</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(69,792)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20,510</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(1,027,785)</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(6,692)</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(1,034,477)</w:t>
            </w:r>
          </w:p>
        </w:tc>
      </w:tr>
      <w:tr>
        <w:trPr>
          <w:trHeight w:val="121"/>
        </w:trPr>
        <w:tc>
          <w:tcPr>
            <w:tcW w:w="2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Contributions in connection with non-</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9"/>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w w:val="99"/>
              </w:rPr>
              <w:t>cash ESOP compensation charges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5,693</w:t>
            </w:r>
          </w:p>
        </w:tc>
      </w:tr>
      <w:tr>
        <w:trPr>
          <w:trHeight w:val="135"/>
        </w:trPr>
        <w:tc>
          <w:tcPr>
            <w:tcW w:w="2020" w:type="dxa"/>
            <w:vAlign w:val="bottom"/>
          </w:tcPr>
          <w:p>
            <w:pPr>
              <w:spacing w:after="0" w:line="135" w:lineRule="exact"/>
              <w:rPr>
                <w:sz w:val="20"/>
                <w:szCs w:val="20"/>
                <w:color w:val="auto"/>
              </w:rPr>
            </w:pPr>
            <w:r>
              <w:rPr>
                <w:rFonts w:ascii="Arial" w:cs="Arial" w:eastAsia="Arial" w:hAnsi="Arial"/>
                <w:sz w:val="13"/>
                <w:szCs w:val="13"/>
                <w:color w:val="auto"/>
              </w:rPr>
              <w:t>Distributions</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(9,716)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(9,814)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(10,229)</w:t>
            </w:r>
          </w:p>
        </w:tc>
      </w:tr>
      <w:tr>
        <w:trPr>
          <w:trHeight w:val="135"/>
        </w:trPr>
        <w:tc>
          <w:tcPr>
            <w:tcW w:w="2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(63,605)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(64,247)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(64,545)</w:t>
            </w:r>
          </w:p>
        </w:tc>
      </w:tr>
      <w:tr>
        <w:trPr>
          <w:trHeight w:val="135"/>
        </w:trPr>
        <w:tc>
          <w:tcPr>
            <w:tcW w:w="2020" w:type="dxa"/>
            <w:vAlign w:val="bottom"/>
          </w:tcPr>
          <w:p>
            <w:pPr>
              <w:spacing w:after="0" w:line="135" w:lineRule="exact"/>
              <w:rPr>
                <w:sz w:val="20"/>
                <w:szCs w:val="20"/>
                <w:color w:val="auto"/>
              </w:rPr>
            </w:pPr>
            <w:r>
              <w:rPr>
                <w:rFonts w:ascii="Arial" w:cs="Arial" w:eastAsia="Arial" w:hAnsi="Arial"/>
                <w:sz w:val="13"/>
                <w:szCs w:val="13"/>
                <w:color w:val="auto"/>
              </w:rPr>
              <w:t>Other comprehensive loss</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(358)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(35,380)</w:t>
            </w:r>
          </w:p>
        </w:tc>
      </w:tr>
      <w:tr>
        <w:trPr>
          <w:trHeight w:val="128"/>
        </w:trPr>
        <w:tc>
          <w:tcPr>
            <w:tcW w:w="2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July 31, 2019</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97,152.7</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989.9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(1,046,245)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(70,476)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(14,512)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(1,131,233)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(7,705)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(1,138,938)</w:t>
            </w:r>
          </w:p>
        </w:tc>
      </w:tr>
      <w:tr>
        <w:trPr>
          <w:trHeight w:val="121"/>
        </w:trPr>
        <w:tc>
          <w:tcPr>
            <w:tcW w:w="2020" w:type="dxa"/>
            <w:vAlign w:val="bottom"/>
          </w:tcPr>
          <w:p>
            <w:pPr>
              <w:spacing w:after="0" w:line="121" w:lineRule="exact"/>
              <w:rPr>
                <w:sz w:val="20"/>
                <w:szCs w:val="20"/>
                <w:color w:val="auto"/>
              </w:rPr>
            </w:pPr>
            <w:r>
              <w:rPr>
                <w:rFonts w:ascii="Arial" w:cs="Arial" w:eastAsia="Arial" w:hAnsi="Arial"/>
                <w:sz w:val="13"/>
                <w:szCs w:val="13"/>
                <w:color w:val="auto"/>
                <w:w w:val="93"/>
              </w:rPr>
              <w:t>Contributions in connection with non-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w w:val="99"/>
              </w:rPr>
              <w:t>cash ESOP compensation charges</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2,871</w:t>
            </w:r>
          </w:p>
        </w:tc>
      </w:tr>
      <w:tr>
        <w:trPr>
          <w:trHeight w:val="135"/>
        </w:trPr>
        <w:tc>
          <w:tcPr>
            <w:tcW w:w="2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r>
      <w:tr>
        <w:trPr>
          <w:trHeight w:val="121"/>
        </w:trPr>
        <w:tc>
          <w:tcPr>
            <w:tcW w:w="2020" w:type="dxa"/>
            <w:vAlign w:val="bottom"/>
          </w:tcPr>
          <w:p>
            <w:pPr>
              <w:spacing w:after="0" w:line="121" w:lineRule="exact"/>
              <w:rPr>
                <w:sz w:val="20"/>
                <w:szCs w:val="20"/>
                <w:color w:val="auto"/>
              </w:rPr>
            </w:pPr>
            <w:r>
              <w:rPr>
                <w:rFonts w:ascii="Arial" w:cs="Arial" w:eastAsia="Arial" w:hAnsi="Arial"/>
                <w:sz w:val="13"/>
                <w:szCs w:val="13"/>
                <w:color w:val="auto"/>
              </w:rPr>
              <w:t>Cumulative adjustment for lease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accounting standard</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(1,375)</w:t>
            </w:r>
          </w:p>
        </w:tc>
      </w:tr>
      <w:tr>
        <w:trPr>
          <w:trHeight w:val="135"/>
        </w:trPr>
        <w:tc>
          <w:tcPr>
            <w:tcW w:w="2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(81,674)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(82,499)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(83,002)</w:t>
            </w:r>
          </w:p>
        </w:tc>
      </w:tr>
      <w:tr>
        <w:trPr>
          <w:trHeight w:val="135"/>
        </w:trPr>
        <w:tc>
          <w:tcPr>
            <w:tcW w:w="202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12,209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12,209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12,334</w:t>
            </w:r>
          </w:p>
        </w:tc>
      </w:tr>
      <w:tr>
        <w:trPr>
          <w:trHeight w:val="128"/>
        </w:trPr>
        <w:tc>
          <w:tcPr>
            <w:tcW w:w="20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July 31, 2020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97,152.7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989.9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(1,126,452)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(71,287)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(1,200,042)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(8,226)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(1,208,268)</w:t>
            </w:r>
          </w:p>
        </w:tc>
      </w:tr>
      <w:tr>
        <w:trPr>
          <w:trHeight w:val="20"/>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(83,002)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(64,545)</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(256,825)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Reconciliation of net loss to net cash provided by operating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employee stock ownership plan compensation charge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asset sales and disposals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derivative instruments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Exit costs associated with contracts - Midstream dispositions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200"/>
              <w:spacing w:after="0" w:line="201" w:lineRule="exact"/>
              <w:rPr>
                <w:sz w:val="20"/>
                <w:szCs w:val="20"/>
                <w:color w:val="auto"/>
              </w:rPr>
            </w:pPr>
            <w:r>
              <w:rPr>
                <w:rFonts w:ascii="Arial" w:cs="Arial" w:eastAsia="Arial" w:hAnsi="Arial"/>
                <w:sz w:val="18"/>
                <w:szCs w:val="18"/>
                <w:color w:val="auto"/>
                <w:w w:val="94"/>
              </w:rPr>
              <w:t>Changes in operating assets and liabilities, net of effects from business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and notes receivable, net of securitization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interest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assets and liabilities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112,842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 acquisitions, net of cash acquired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(108,822)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of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80"/>
              <w:spacing w:after="0" w:line="201" w:lineRule="exact"/>
              <w:rPr>
                <w:sz w:val="20"/>
                <w:szCs w:val="20"/>
                <w:color w:val="auto"/>
              </w:rPr>
            </w:pPr>
            <w:r>
              <w:rPr>
                <w:rFonts w:ascii="Arial" w:cs="Arial" w:eastAsia="Arial" w:hAnsi="Arial"/>
                <w:sz w:val="18"/>
                <w:szCs w:val="18"/>
                <w:color w:val="auto"/>
              </w:rPr>
              <w:t>Cash payments to construct assets in connection with future lease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transactions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(37,042)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receipts in connection with leased vehicles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(124,327)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(285,857)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(212,920)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additions to (reductions in) short-term borrowings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Net additions to (reductions in) collateralized short-term borrowings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financing costs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Noncontrolling interest activity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payments for principal portion of finance lease liability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281,161</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322,707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(108,257)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113,551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333,761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unit data, unless otherwise designated)</w:t>
      </w:r>
    </w:p>
    <w:p>
      <w:pPr>
        <w:spacing w:after="0" w:line="207" w:lineRule="exact"/>
        <w:rPr>
          <w:sz w:val="20"/>
          <w:szCs w:val="20"/>
          <w:color w:val="auto"/>
        </w:rPr>
      </w:pPr>
    </w:p>
    <w:p>
      <w:pPr>
        <w:ind w:left="580" w:hanging="530"/>
        <w:spacing w:after="0"/>
        <w:tabs>
          <w:tab w:leader="none" w:pos="5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Partnership organization and formation</w:t>
      </w:r>
    </w:p>
    <w:p>
      <w:pPr>
        <w:spacing w:after="0" w:line="229"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Ferrellgas Partners, L.P. (“Ferrellgas Partners”) was formed on April 19, 1994, and is a publicly traded limited partnership, owning an approximate 99% limited partner interest in Ferrellgas, L.P. (the “operating partnership”). Ferrellgas Partners and the operating partnership, collectively referred to as “Ferrellgas,” are both Delaware limited partnerships and are governed by their respective partnership agreements. Ferrellgas Partners was formed to acquire and hold a limited partner interest in the operating partnership. As of July 31, 2020, Ferrell Companies Inc., a Kansas corporation (“Ferrell Companies”), beneficially owns 22.8 million of Ferrellgas Partners’ outstanding common units.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Ferrellgas, Inc., a Delaware corporation and a wholly-owned subsidiary of Ferrell Companies, is the sole general partner of Ferrellgas Partners and one of three general partners of the operating partnership. Ferrellgas, Inc. has retained an approximate 1% general partner economic interest in Ferrellgas Partners and also holds an approximate 1% general partner economic interest in the operating partnership, representing an effective 2% general partner economic interest in Ferrellgas on a combined basis. As the sole general partner of Ferrellgas Partners, Ferrellgas, Inc. performs all management functions required by Ferrellgas Partners. Unless contractually provided for, creditors of the operating partnership have no recourse with regards to Ferrellgas Partners.</w:t>
      </w:r>
    </w:p>
    <w:p>
      <w:pPr>
        <w:spacing w:after="0" w:line="177"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On April 24, 2020, Ferrellgas Partners, the sole limited partner of the operating partnership, and Ferrellgas, Inc., the then-sole general partner of the operating partnership, amended and restated the partnership agreement of the operating partnership in order to, among other things, provide for the admission of two additional general partners. On April 27, 2020, Ferrellgas GP II, LLC and Ferrellgas GP III, LLC, each a Delaware limited liability company and a wholly-owned subsidiary of Ferrell Companies, were formed and subsequently admitted as additional general partners of the operating partnership. As the general partners of the operating partnership, Ferrellgas, Inc., Ferrellgas GP II, LLC and Ferrellgas GP III, LLC each have an equal vote and all general partner matters of the operating partnership are determined by the vote or consent of a majority of such entities. The general partners perform all management functions required by the operating partnership. The general partner interests held by Ferrellgas GP II, LLC and Ferrellgas GP III, LLC are strictly voting and non-economic.</w:t>
      </w:r>
    </w:p>
    <w:p>
      <w:pPr>
        <w:spacing w:after="0" w:line="185"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term “general partner” (i) with respect to Ferrellgas Partners refers to Ferrellgas, Inc. and (ii) with respect to the operating partnership refers to (a) Ferrellgas, Inc., in the case of any economic general partner interest and (b) Ferrellgas, Inc., Ferrellgas GP II, LLC and Ferrellgas GP III, LLC, collectively, in the case of any voting general partner interest.</w:t>
      </w:r>
    </w:p>
    <w:p>
      <w:pPr>
        <w:spacing w:after="0" w:line="18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Ferrellgas Partners is a holding entity that conducts no operations and has two subsidiaries, Ferrellgas Partners Finance Corp. and the operating partnership. Ferrellgas Partners owns a 100% equity interest in Ferrellgas Partners Finance Corp., whose only business activity is to act as the co-issuer and co-obligor of any debt issued by Ferrellgas Partners. The operating partnership is the only operating subsidiary of Ferrellgas Partners.</w:t>
      </w:r>
    </w:p>
    <w:p>
      <w:pPr>
        <w:spacing w:after="0" w:line="17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Ferrellgas is primarily engaged in the retail distribution of propane and related equipment sales. The propane distribution market is seasonal because propane is used primarily for heating in residential and commercial buildings. Ferrellgas serves residential, industrial/commercial, portable tank exchange, agricultural, wholesale and other customers in all 50 states, the District of Columbia, and Puerto Rico.</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continuity of operations, the realization of assets and the satisfaction of liabilities in the normal course of business. Ferrellgas Partners has $357.0 million in unsecured notes due June 15, 2020, which Ferrellgas Partners failed to repay, that are classified as current in the consolidated financial statements. Additionally, Ferrellgas, L.P. has $500.0 million in unsecured notes due May 1, 2021, that are also classified as current in the consolidated financial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statements. The ability of Ferrellgas Partners to restructure, refinance or otherwise satisfy these notes is uncertain considering the level of other outstanding indebtedness. Given these concerns, Ferrellgas Partners believes there is substantial doubt about the entity’s ability to continue as a going concern. Ferrellgas has engaged Moelis &amp; Company LLC as its financial advisor and the law firm of Squire Patton Boggs LLP to assist in its ongoing process to reduce existing debt and address its debt maturities. The outcome of Ferrellgas’ debt reduction strategy continues to remain uncertain. Additionally, see Note I – Debt below for further discussion of the outstanding debt.</w:t>
      </w:r>
    </w:p>
    <w:p>
      <w:pPr>
        <w:spacing w:after="0" w:line="174" w:lineRule="exact"/>
        <w:rPr>
          <w:sz w:val="20"/>
          <w:szCs w:val="20"/>
          <w:color w:val="auto"/>
        </w:rPr>
      </w:pPr>
    </w:p>
    <w:p>
      <w:pPr>
        <w:ind w:left="540" w:hanging="490"/>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ind w:left="1020" w:right="79" w:hanging="322"/>
        <w:spacing w:after="0" w:line="287" w:lineRule="auto"/>
        <w:tabs>
          <w:tab w:leader="none" w:pos="1031"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Accounting estimates: </w:t>
      </w:r>
      <w:r>
        <w:rPr>
          <w:rFonts w:ascii="Arial" w:cs="Arial" w:eastAsia="Arial" w:hAnsi="Arial"/>
          <w:sz w:val="16"/>
          <w:szCs w:val="16"/>
          <w:color w:val="auto"/>
        </w:rPr>
        <w:t>The preparation of financial statements in conformity with accounting principles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doubtful accounts, fair value of reporting units, recoverability of long-lived assets, assumptions used to value business combinations, determination of incremental borrowing rate used to measure right-of-use asset and lease liability, fair values of derivative contracts and stock-based compensation calculations.</w:t>
      </w:r>
    </w:p>
    <w:p>
      <w:pPr>
        <w:spacing w:after="0" w:line="167" w:lineRule="exact"/>
        <w:rPr>
          <w:rFonts w:ascii="Arial" w:cs="Arial" w:eastAsia="Arial" w:hAnsi="Arial"/>
          <w:sz w:val="16"/>
          <w:szCs w:val="16"/>
          <w:b w:val="1"/>
          <w:bCs w:val="1"/>
          <w:color w:val="auto"/>
        </w:rPr>
      </w:pPr>
    </w:p>
    <w:p>
      <w:pPr>
        <w:ind w:left="1020" w:right="79" w:hanging="322"/>
        <w:spacing w:after="0" w:line="268" w:lineRule="auto"/>
        <w:tabs>
          <w:tab w:leader="none" w:pos="1041" w:val="left"/>
        </w:tabs>
        <w:numPr>
          <w:ilvl w:val="1"/>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present the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position, results of operations and cash flows of Ferrellgas Partners, its wholly-owned subsidiary, Ferrellgas Partners Finance Corp., and the operating partnership, its majority-owned subsidiary, after elimination of all intercompany accounts and transactions. We have determined that the operating partnership is a variable interest entity for whom Ferrellgas Partners has no ability through voting rights or similar rights to make decisions and thus does not have the power to direct the activities of the operating partnership that most significantly impact economic performance. However, we have determined that the accounts of Ferrellgas Partners’ majority-owned subsidiary should be included because Ferrellgas Partners is most closely associated with the operations of the operating partnership due to the fact that Ferrellgas Partners has the obligation to absorb the losses of and the right to receive benefits from the operating partnership that are significant to the operating partnership and substantially all the assets and liabilities of Ferrellgas Partners consist of the operating partnership. The operating partnership includes the accounts of its wholly-owned subsidiaries. The general partner’s approximate 1% general partner interest in the operating partnership is accounted for as a noncontrolling interest. The wholly-owned consolidated subsidiary of the operating partnership, Ferrellgas Receivables, LLC (“Ferrellgas Receivables”), is a special purpose entity that has agreements with the operating partnership to securitize, on an ongoing basis, a portion of its trade accounts receivable.</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Certain prior-year amounts have been reclassified to conform to the current-year presentation.</w:t>
      </w:r>
    </w:p>
    <w:p>
      <w:pPr>
        <w:spacing w:after="0" w:line="221" w:lineRule="exact"/>
        <w:rPr>
          <w:sz w:val="20"/>
          <w:szCs w:val="20"/>
          <w:color w:val="auto"/>
        </w:rPr>
      </w:pPr>
    </w:p>
    <w:p>
      <w:pPr>
        <w:ind w:left="1020" w:right="79" w:hanging="322"/>
        <w:spacing w:after="0" w:line="303" w:lineRule="auto"/>
        <w:tabs>
          <w:tab w:leader="none" w:pos="1041"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Ferrellgas measures certain of its assets and liabilities at fair value,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as the price that would be received to sell an asset or paid to transfer a liability in an orderly transaction between market participants – in either the principal market or the most advantageous market. The principal market is the market with the greatest level of activity and volume for the asset or liability.</w:t>
      </w:r>
    </w:p>
    <w:p>
      <w:pPr>
        <w:spacing w:after="0" w:line="15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common framework for measuring fair value utilizes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84" w:lineRule="exact"/>
        <w:rPr>
          <w:sz w:val="20"/>
          <w:szCs w:val="20"/>
          <w:color w:val="auto"/>
        </w:rPr>
      </w:pPr>
    </w:p>
    <w:p>
      <w:pPr>
        <w:ind w:left="1020" w:hanging="322"/>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79" w:hanging="322"/>
        <w:spacing w:after="0" w:line="255"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2: Quoted prices in active markets for similar assets or liabilities; quoted prices for identical or similar instruments in markets that are not active; and model-derived valuations in which all significant inputs are observable in active markets.</w:t>
      </w:r>
    </w:p>
    <w:p>
      <w:pPr>
        <w:spacing w:after="0" w:line="2" w:lineRule="exact"/>
        <w:rPr>
          <w:rFonts w:ascii="Arial" w:cs="Arial" w:eastAsia="Arial" w:hAnsi="Arial"/>
          <w:sz w:val="18"/>
          <w:szCs w:val="18"/>
          <w:color w:val="auto"/>
        </w:rPr>
      </w:pPr>
    </w:p>
    <w:p>
      <w:pPr>
        <w:ind w:left="1020" w:right="959" w:hanging="322"/>
        <w:spacing w:after="0" w:line="260"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181" w:lineRule="exact"/>
        <w:rPr>
          <w:sz w:val="20"/>
          <w:szCs w:val="20"/>
          <w:color w:val="auto"/>
        </w:rPr>
      </w:pPr>
    </w:p>
    <w:p>
      <w:pPr>
        <w:ind w:left="1020" w:right="119" w:hanging="322"/>
        <w:spacing w:after="0" w:line="298" w:lineRule="auto"/>
        <w:tabs>
          <w:tab w:leader="none" w:pos="103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 Accounts receivable are reported on the consolidated balance sheets at the gross</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amount adjusted for an allowance for doubtful accounts. Accounts receivable that are acquired are initially recorded at fair value on the date of acquisition. Provisions for uncollectible accounts are established based upon our collection experience and the assessment of the collectability of specific amounts. Accounts receivable are written off in the period in which the receivable is deemed uncollectible.</w:t>
      </w:r>
    </w:p>
    <w:p>
      <w:pPr>
        <w:spacing w:after="0" w:line="153" w:lineRule="exact"/>
        <w:rPr>
          <w:rFonts w:ascii="Arial" w:cs="Arial" w:eastAsia="Arial" w:hAnsi="Arial"/>
          <w:sz w:val="16"/>
          <w:szCs w:val="16"/>
          <w:b w:val="1"/>
          <w:bCs w:val="1"/>
          <w:color w:val="auto"/>
        </w:rPr>
      </w:pPr>
    </w:p>
    <w:p>
      <w:pPr>
        <w:ind w:left="1020" w:right="499" w:hanging="277"/>
        <w:spacing w:after="0" w:line="266" w:lineRule="auto"/>
        <w:tabs>
          <w:tab w:leader="none" w:pos="1076"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securitization</w:t>
      </w:r>
      <w:r>
        <w:rPr>
          <w:rFonts w:ascii="Arial" w:cs="Arial" w:eastAsia="Arial" w:hAnsi="Arial"/>
          <w:sz w:val="18"/>
          <w:szCs w:val="18"/>
          <w:color w:val="auto"/>
        </w:rPr>
        <w:t>: Through its wholly-owned and consolidated subsidiary Ferrellgas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Ferrellgas has agreements to securitize, on an ongoing basis, substantially all of its trade accounts receivable.</w:t>
      </w:r>
    </w:p>
    <w:p>
      <w:pPr>
        <w:spacing w:after="0" w:line="176" w:lineRule="exact"/>
        <w:rPr>
          <w:sz w:val="20"/>
          <w:szCs w:val="20"/>
          <w:color w:val="auto"/>
        </w:rPr>
      </w:pPr>
    </w:p>
    <w:p>
      <w:pPr>
        <w:ind w:left="1020" w:right="339" w:hanging="322"/>
        <w:spacing w:after="0" w:line="282" w:lineRule="auto"/>
        <w:tabs>
          <w:tab w:leader="none" w:pos="1041"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 Inventories are stated at the lower of cost or net realizable value using weighted average cost</w:t>
      </w:r>
      <w:r>
        <w:rPr>
          <w:rFonts w:ascii="Arial" w:cs="Arial" w:eastAsia="Arial" w:hAnsi="Arial"/>
          <w:sz w:val="18"/>
          <w:szCs w:val="18"/>
          <w:b w:val="1"/>
          <w:bCs w:val="1"/>
          <w:color w:val="auto"/>
        </w:rPr>
        <w:t xml:space="preserve"> </w:t>
      </w:r>
      <w:r>
        <w:rPr>
          <w:rFonts w:ascii="Arial" w:cs="Arial" w:eastAsia="Arial" w:hAnsi="Arial"/>
          <w:sz w:val="18"/>
          <w:szCs w:val="18"/>
          <w:color w:val="auto"/>
        </w:rPr>
        <w:t>and actual cost methods.</w:t>
      </w:r>
    </w:p>
    <w:p>
      <w:pPr>
        <w:spacing w:after="0" w:line="161" w:lineRule="exact"/>
        <w:rPr>
          <w:rFonts w:ascii="Arial" w:cs="Arial" w:eastAsia="Arial" w:hAnsi="Arial"/>
          <w:sz w:val="18"/>
          <w:szCs w:val="18"/>
          <w:b w:val="1"/>
          <w:bCs w:val="1"/>
          <w:color w:val="auto"/>
        </w:rPr>
      </w:pPr>
    </w:p>
    <w:p>
      <w:pPr>
        <w:ind w:left="1020" w:right="59" w:hanging="322"/>
        <w:spacing w:after="0" w:line="286" w:lineRule="auto"/>
        <w:tabs>
          <w:tab w:leader="none" w:pos="1041"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less accumulated</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Expenditures for maintenance and routine repairs are expensed as incurred. Ferrellgas capitalizes computer software, equipment replacement and betterment expenditures that upgrade, replace or completely rebuild major mechanical components and extend the original useful life of the equipment. Depreciation is calculated using the straight-line method based on the estimated useful lives of the assets ranging from two to 30 years. Ferrellgas, using its best estimates based on reasonable and supportable assumptions and projections, tests long-lived assets for impairment whenever events or changes in circumstances indicate that the carrying amount of its assets or asset groups might not be recoverable. The recoverability tests for property, plant and equipment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management’s plans. If the carrying value exceeds the expected undiscounted future cash flows, an impairment loss is recognized for the difference between the estimated fair market value and the carrying value of the asset group.</w:t>
      </w:r>
    </w:p>
    <w:p>
      <w:pPr>
        <w:spacing w:after="0" w:line="167" w:lineRule="exact"/>
        <w:rPr>
          <w:rFonts w:ascii="Arial" w:cs="Arial" w:eastAsia="Arial" w:hAnsi="Arial"/>
          <w:sz w:val="16"/>
          <w:szCs w:val="16"/>
          <w:b w:val="1"/>
          <w:bCs w:val="1"/>
          <w:color w:val="auto"/>
        </w:rPr>
      </w:pPr>
    </w:p>
    <w:p>
      <w:pPr>
        <w:ind w:left="1020" w:right="79" w:hanging="322"/>
        <w:spacing w:after="0" w:line="269" w:lineRule="auto"/>
        <w:tabs>
          <w:tab w:leader="none" w:pos="1041"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Ferrellgas records goodwill as the excess of the cost of acquisitions over the fair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net assets at the date of acquisition. Ferrellgas tests goodwill for impairment annually during the second quarter or more frequently if events or changes in circumstances indicate that it is more likely than not the fair value of a reporting unit is less than the carrying value. Ferrellgas has determined that it has two reporting units for goodwill impairment testing purposes. As of July 31, 2020, one of these reporting units contains goodwill that is subject to at least an annual assessment for impairment by applying a fair-value-based test. Under this test, the carrying value of each reporting unit is determined by assigning the assets and liabilities, including the existing goodwill and intangible assets, to those reporting units as of the date of the evaluation on a specific identification basis. To the extent a reporting unit’s carrying value exceeds its fair value, the reporting unit’s goodwill is impaired. The amount of impairment would be equal to the lesser of the excess of reporting unit carrying value over its fair value and the reporting unit’s recorded amount of goodwill. Ferrellgas completed its most recent annual goodwill impairment test on January 31, 2020 and did not incur an impairment loss.</w:t>
      </w:r>
    </w:p>
    <w:p>
      <w:pPr>
        <w:spacing w:after="0" w:line="175" w:lineRule="exact"/>
        <w:rPr>
          <w:rFonts w:ascii="Arial" w:cs="Arial" w:eastAsia="Arial" w:hAnsi="Arial"/>
          <w:sz w:val="17"/>
          <w:szCs w:val="17"/>
          <w:b w:val="1"/>
          <w:bCs w:val="1"/>
          <w:color w:val="auto"/>
        </w:rPr>
      </w:pPr>
    </w:p>
    <w:p>
      <w:pPr>
        <w:ind w:left="1020" w:right="79" w:hanging="277"/>
        <w:spacing w:after="0" w:line="298" w:lineRule="auto"/>
        <w:tabs>
          <w:tab w:leader="none" w:pos="1086" w:val="left"/>
        </w:tabs>
        <w:numPr>
          <w:ilvl w:val="1"/>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Intangible assets with finite useful lives, consisting primarily of customer related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non-compete agreements, permits, favorable lease arrangements and patented technology are stated at cost, net of accumulated amortization calculated using the straight-line method over periods ranging from two to 15 years. When necessary, intangible assets’ useful lives are revised and the impact on amortization reflected on a prospective basis. Trade names and trademarks have indefinite lives, are not amortized, and</w:t>
      </w:r>
    </w:p>
    <w:p>
      <w:pPr>
        <w:sectPr>
          <w:pgSz w:w="11900" w:h="16838" w:orient="portrait"/>
          <w:cols w:equalWidth="0" w:num="1">
            <w:col w:w="9019"/>
          </w:cols>
          <w:pgMar w:left="1440" w:top="517"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39"/>
        <w:spacing w:after="0" w:line="288" w:lineRule="auto"/>
        <w:rPr>
          <w:sz w:val="20"/>
          <w:szCs w:val="20"/>
          <w:color w:val="auto"/>
        </w:rPr>
      </w:pPr>
      <w:r>
        <w:rPr>
          <w:rFonts w:ascii="Arial" w:cs="Arial" w:eastAsia="Arial" w:hAnsi="Arial"/>
          <w:sz w:val="16"/>
          <w:szCs w:val="16"/>
          <w:color w:val="auto"/>
        </w:rPr>
        <w:t>are stated at cost. Ferrellgas tests finite-lived intangible assets for impairment when events or changes in circumstances indicate that the carrying amount of these assets or asset groups might not be recoverable. Ferrellgas tests indefinite-lived intangible assets for impairment annually on January 31 or more frequently if circumstances dictate. The recoverability tests for definite-lived intangible assets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management’s plans. If the carrying value exceeds the expected undiscounted future cash flows, an impairment loss is recognized for the difference between the estimated fair market value and the carrying value of the asset group.</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Commodity and Transportation Fuel Price Risk.</w:t>
      </w:r>
    </w:p>
    <w:p>
      <w:pPr>
        <w:spacing w:after="0" w:line="225"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Ferrellgas’ overall objective for entering into commodity based derivative contracts, including commodity options and swaps, is to hedge a portion of its exposure to market fluctuations in propane, gasoline and diesel prices.</w:t>
      </w:r>
    </w:p>
    <w:p>
      <w:pPr>
        <w:spacing w:after="0" w:line="146"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Ferrellgas’ risk management activities primarily attempt to mitigate price risks related to the purchase, storage, transport and sale of propane generally in the contract and spot markets from major domestic energy companies on a short-term basis. Ferrellgas attempts to mitigate these price risks through the use of financial derivative instruments and forward propane purchase and sales contracts. Additionally, from time to time Ferrellgas risk management activities attempt to mitigate price risks related to the purchase of gasoline and diesel fuel for use in the transport of propane from retail fueling stations through the use of financial derivative instruments.</w:t>
      </w:r>
    </w:p>
    <w:p>
      <w:pPr>
        <w:spacing w:after="0" w:line="178"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Ferrellgas’ risk management strategy involves taking positions in the forward or financial markets that are equal and opposite to Ferrellgas’ positions in the physical products market in order to minimize the risk of financial loss from an adverse price change. This risk management strategy is successful when Ferrellgas’ gains or losses in the physical product markets are offset by its losses or gains in the forward or financial markets. The propane related financial derivatives are designated as cash flow hedges. The gasoline and diesel related financial derivatives have not historically been formally designated and documented as a hedge of exposure to fluctuations in the market price of fuel.</w:t>
      </w:r>
    </w:p>
    <w:p>
      <w:pPr>
        <w:spacing w:after="0" w:line="164"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Ferrellgas’ risk management activities may include the use of financial derivative instruments including, but not limited to, futures, swaps, and options to seek protection from adverse price movements and to minimize potential losses. Ferrellgas enters into these financial derivative instruments primarily with brokers who are clearing members with the Intercontinental Exchange or the Chicago Mercantile Exchange and, to a lesser extent, directly with third parties in the over-the-counter market. All of Ferrellgas’ financial derivative instruments are reported on the consolidated balance sheets at fair value.</w:t>
      </w:r>
    </w:p>
    <w:p>
      <w:pPr>
        <w:spacing w:after="0" w:line="192"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Ferrellgas also enters into forward propane purchase and sales contracts with counterparties. These forward contracts qualify for the normal purchase normal sales exception within GAAP guidance and are therefore not recorded on Ferrellgas’ financial statements until settled.</w:t>
      </w:r>
    </w:p>
    <w:p>
      <w:pPr>
        <w:spacing w:after="0" w:line="184" w:lineRule="exact"/>
        <w:rPr>
          <w:sz w:val="20"/>
          <w:szCs w:val="20"/>
          <w:color w:val="auto"/>
        </w:rPr>
      </w:pPr>
    </w:p>
    <w:p>
      <w:pPr>
        <w:ind w:left="60" w:right="179" w:firstLine="648"/>
        <w:spacing w:after="0" w:line="288" w:lineRule="auto"/>
        <w:rPr>
          <w:sz w:val="20"/>
          <w:szCs w:val="20"/>
          <w:color w:val="auto"/>
        </w:rPr>
      </w:pPr>
      <w:r>
        <w:rPr>
          <w:rFonts w:ascii="Arial" w:cs="Arial" w:eastAsia="Arial" w:hAnsi="Arial"/>
          <w:sz w:val="16"/>
          <w:szCs w:val="16"/>
          <w:color w:val="auto"/>
        </w:rPr>
        <w:t>On the date that derivative contracts are entered into, other than those designated as normal purchases or normal sales, Ferrellgas makes a determination as to whether the derivative instrument qualifies for designation as a hedge. These financial instruments are formally designated as a hedge of a specific underlying exposure, and that designation as well as the risk management objectives and strategies for undertaking the hedge transaction are documented. Because of the high degree of correlation between the hedging instrument and the underlying exposure being hedged, fluctuations in the value of the derivative instrument are generally offset by changes in the anticipated cash flows of the underlying exposure being hedged. Since the fair value of these derivatives fluctuates over their contractual lives, their fair value amounts should not be viewed in isolation, but rather in relation to the anticipated cash flows of the underlying hedged transaction and the overall reduction in Ferrellgas’ risk relating to adverse fluctuations in propane prices. Ferrellgas formally assesses, both at inception and at least quarterly thereafter, whether the financial instruments that are used in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hedging transactions are effective at offsetting changes in the anticipated cash flows of the related underlying exposures. Any ineffective portion of a financial instrument’s change in fair value is recognized in “Cost of product sold - propane and other gas liquids sales” in the consolidated statements of operations. Financial instruments formally designated and documented as a hedge of a specific underlying exposure are recorded gross at fair value as either “Prepaid expenses and other current assets”, “Other assets, net”, “Other current liabilities”, or “Other liabilities” on the consolidated balance sheets with changes in fair value reported in other comprehensive income.</w:t>
      </w:r>
    </w:p>
    <w:p>
      <w:pPr>
        <w:spacing w:after="0" w:line="178"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Financial instruments not formally designated and documented as a hedge of a specific underlying exposure are recorded at fair value as “Prepaid expenses and other current assets”, “Other assets, net”, “Other current liabilities”, or “Other liabilities” on the consolidated balance sheets with changes in fair value reported in “Operating expense” on the consolidated statements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Fluctuations in interest rates subject Ferrellgas to interest rate risk. Decreases in interest rates increase the fair value of Ferrellgas’ fixed rate debt, while increases in interest rates subject Ferrellgas to the risk of increased interest expense related to its variable rate borrowings.</w:t>
      </w:r>
    </w:p>
    <w:p>
      <w:pPr>
        <w:spacing w:after="0" w:line="184"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Ferrellgas may enter into fair value hedges to help reduce its fixed interest rate risk. Interest rate swaps may be used to hedge the exposure to changes in the fair value of fixed rate debt due to changes in interest rates. Fixed rate debt that has been designated as being hedged is adjusted to offset the change in the fair value of interest rate derivatives that are fair value hedges, which are classified as “Prepaid expenses and other current assets”, “Other assets, net”, Other current liabilities” or as “Other liabilities” on the consolidated balance sheets. Changes in the fair value of fixed rate debt and any related fair value hedges are recognized as they occur in “Interest expense” on the consolidated statements of operations.</w:t>
      </w:r>
    </w:p>
    <w:p>
      <w:pPr>
        <w:spacing w:after="0" w:line="164" w:lineRule="exact"/>
        <w:rPr>
          <w:sz w:val="20"/>
          <w:szCs w:val="20"/>
          <w:color w:val="auto"/>
        </w:rPr>
      </w:pPr>
    </w:p>
    <w:p>
      <w:pPr>
        <w:ind w:left="60" w:right="239" w:firstLine="648"/>
        <w:spacing w:after="0" w:line="290" w:lineRule="auto"/>
        <w:rPr>
          <w:sz w:val="20"/>
          <w:szCs w:val="20"/>
          <w:color w:val="auto"/>
        </w:rPr>
      </w:pPr>
      <w:r>
        <w:rPr>
          <w:rFonts w:ascii="Arial" w:cs="Arial" w:eastAsia="Arial" w:hAnsi="Arial"/>
          <w:sz w:val="16"/>
          <w:szCs w:val="16"/>
          <w:color w:val="auto"/>
        </w:rPr>
        <w:t>Ferrellgas may enter into cash flow hedges to help reduce its variable interest rate risk. Interest rate swaps are used to hedge the risk associated with rising interest rates and their effect on forecasted interest payments related to variable rate borrowings. These interest rate swaps are designated as cash flow hedges. Thus, the effective portions of changes in the fair value of the hedges are recorded in “Prepaid expenses and other current assets”, “Other assets, net”, “Other current liabilities” or as “Other liabilities” with an offsetting entry to “Other comprehensive income” at interim periods and are subsequently recognized as interest expense in the consolidated statements of operations when the forecasted transaction impacts earnings. Changes in the fair value of any cash flow hedges that are considered ineffective are recognized as interest expense on the consolidated statement of operations as they occur.</w:t>
      </w:r>
    </w:p>
    <w:p>
      <w:pPr>
        <w:spacing w:after="0" w:line="161" w:lineRule="exact"/>
        <w:rPr>
          <w:sz w:val="20"/>
          <w:szCs w:val="20"/>
          <w:color w:val="auto"/>
        </w:rPr>
      </w:pPr>
    </w:p>
    <w:p>
      <w:pPr>
        <w:ind w:left="1020" w:right="119" w:hanging="322"/>
        <w:spacing w:after="0" w:line="269" w:lineRule="auto"/>
        <w:tabs>
          <w:tab w:leader="none" w:pos="1031"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Revenues from Ferrellgas’ propane operations and related equipment sales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are recognized at the time product is delivered with payments generally due 30 days after receipt. Amounts are considered past due after 30 days. Ferrellgas determines accounts receivable allowances based on management’s assessment of the creditworthiness of the customers and other collection actions. Ferrellgas offers “even pay” billing programs that can create customer deposits or advances. Revenue is recognized from these customer deposits or advances to customers at the time product is delivered. Other revenues, which include revenue from the sale of propane appliances and equipment is recognized at the time of delivery or installation. Ferrellgas recognizes shipping and handling revenues and expenses for sales of propane, appliances and equipment at the time of delivery or installation. Shipping and handling revenues are included in the price of propane charged to customers, and are classified as revenue. Revenues from annually billed, non-refundable propane tank rentals are recognized in “Revenues: other” on a straight-line basis over one year.</w:t>
      </w:r>
    </w:p>
    <w:p>
      <w:pPr>
        <w:spacing w:after="0" w:line="183"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Prior to the dispositions in 2018 which constituted Ferrellgas’ Midstream operations segment, revenues included crude oil sales, pipeline tariffs, trucking fees, rail throughput fees, pipeline management services, leasing, throughput, storage and salt water disposal. These revenues were recognized upon completion of the related service or delivery of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20" w:right="259" w:hanging="322"/>
        <w:spacing w:after="0" w:line="292" w:lineRule="auto"/>
        <w:tabs>
          <w:tab w:leader="none" w:pos="1041"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Shipping and handling expenses: </w:t>
      </w:r>
      <w:r>
        <w:rPr>
          <w:rFonts w:ascii="Arial" w:cs="Arial" w:eastAsia="Arial" w:hAnsi="Arial"/>
          <w:sz w:val="16"/>
          <w:szCs w:val="16"/>
          <w:color w:val="auto"/>
        </w:rPr>
        <w:t>Shipping and handling expenses related to delivery personnel, vehicle</w:t>
      </w:r>
      <w:r>
        <w:rPr>
          <w:rFonts w:ascii="Arial" w:cs="Arial" w:eastAsia="Arial" w:hAnsi="Arial"/>
          <w:sz w:val="16"/>
          <w:szCs w:val="16"/>
          <w:b w:val="1"/>
          <w:bCs w:val="1"/>
          <w:color w:val="auto"/>
        </w:rPr>
        <w:t xml:space="preserve"> </w:t>
      </w:r>
      <w:r>
        <w:rPr>
          <w:rFonts w:ascii="Arial" w:cs="Arial" w:eastAsia="Arial" w:hAnsi="Arial"/>
          <w:sz w:val="16"/>
          <w:szCs w:val="16"/>
          <w:color w:val="auto"/>
        </w:rPr>
        <w:t>repair and maintenance and general liability expenses are classified within “Operating expense – personnel, vehicle, plant and other” in the consolidated statements of operations. Depreciation expenses on delivery vehicles Ferrellgas owns are classified within “Depreciation and amortization expense.” Delivery vehicles and distribution technology under operating leases by Ferrellgas are classified within “Operating expense – equipment lease expense.” Delivery vehicles and distribution technology under finance leases by Ferrellgas are classified within “Depreciation and amortization expense.”</w:t>
      </w:r>
    </w:p>
    <w:p>
      <w:pPr>
        <w:spacing w:after="0" w:line="16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See Note F – Supplemental financial statement information – for the financial statement presentation of shipping and handling expenses.</w:t>
      </w:r>
    </w:p>
    <w:p>
      <w:pPr>
        <w:spacing w:after="0" w:line="166" w:lineRule="exact"/>
        <w:rPr>
          <w:sz w:val="20"/>
          <w:szCs w:val="20"/>
          <w:color w:val="auto"/>
        </w:rPr>
      </w:pPr>
    </w:p>
    <w:p>
      <w:pPr>
        <w:ind w:left="1020" w:right="99" w:hanging="322"/>
        <w:spacing w:after="0" w:line="292" w:lineRule="auto"/>
        <w:tabs>
          <w:tab w:leader="none" w:pos="1041"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Cost of sales: </w:t>
      </w:r>
      <w:r>
        <w:rPr>
          <w:rFonts w:ascii="Arial" w:cs="Arial" w:eastAsia="Arial" w:hAnsi="Arial"/>
          <w:sz w:val="16"/>
          <w:szCs w:val="16"/>
          <w:color w:val="auto"/>
        </w:rPr>
        <w:t>“Cost of sales – propane and other gas liquids sales” includes all costs to acquire propane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gas liquids, the costs of storing and transporting inventory prior to delivery to Ferrellgas’ customers, the results from risk management activities to hedge related price risk and the costs of materials related to the refurbishment of Ferrellgas’ portable propane tanks. “Cost of sales - midstream operations” includes all costs incurred to purchase and transport crude oil, including the costs of terminaling and transporting crude oil prior to delivery to customers and the costs of salt water disposal. “Cost of sales – other” primarily includes costs related to the sale of propane appliances and equipment.</w:t>
      </w:r>
    </w:p>
    <w:p>
      <w:pPr>
        <w:spacing w:after="0" w:line="161" w:lineRule="exact"/>
        <w:rPr>
          <w:rFonts w:ascii="Arial" w:cs="Arial" w:eastAsia="Arial" w:hAnsi="Arial"/>
          <w:sz w:val="16"/>
          <w:szCs w:val="16"/>
          <w:b w:val="1"/>
          <w:bCs w:val="1"/>
          <w:color w:val="auto"/>
        </w:rPr>
      </w:pPr>
    </w:p>
    <w:p>
      <w:pPr>
        <w:jc w:val="both"/>
        <w:ind w:left="1020" w:right="599" w:hanging="322"/>
        <w:spacing w:after="0" w:line="266" w:lineRule="auto"/>
        <w:tabs>
          <w:tab w:leader="none" w:pos="1041"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Operating expense: </w:t>
      </w:r>
      <w:r>
        <w:rPr>
          <w:rFonts w:ascii="Arial" w:cs="Arial" w:eastAsia="Arial" w:hAnsi="Arial"/>
          <w:sz w:val="18"/>
          <w:szCs w:val="18"/>
          <w:color w:val="auto"/>
        </w:rPr>
        <w:t>“Operating expense – personnel, vehicle, plant and other” primarily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vehicle, delivery, handling, plant, office, selling, marketing, credit and collections and other expenses.</w:t>
      </w:r>
    </w:p>
    <w:p>
      <w:pPr>
        <w:spacing w:after="0" w:line="175" w:lineRule="exact"/>
        <w:rPr>
          <w:rFonts w:ascii="Arial" w:cs="Arial" w:eastAsia="Arial" w:hAnsi="Arial"/>
          <w:sz w:val="18"/>
          <w:szCs w:val="18"/>
          <w:b w:val="1"/>
          <w:bCs w:val="1"/>
          <w:color w:val="auto"/>
        </w:rPr>
      </w:pPr>
    </w:p>
    <w:p>
      <w:pPr>
        <w:ind w:left="1020" w:right="279" w:hanging="322"/>
        <w:spacing w:after="0" w:line="266" w:lineRule="auto"/>
        <w:tabs>
          <w:tab w:leader="none" w:pos="1041"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and administrative expense: </w:t>
      </w:r>
      <w:r>
        <w:rPr>
          <w:rFonts w:ascii="Arial" w:cs="Arial" w:eastAsia="Arial" w:hAnsi="Arial"/>
          <w:sz w:val="18"/>
          <w:szCs w:val="18"/>
          <w:color w:val="auto"/>
        </w:rPr>
        <w:t>“General and administrative expense” primarily includes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incentive expense related to executives and employees, as well as other overhead expenses related to centralized corporate functions.</w:t>
      </w:r>
    </w:p>
    <w:p>
      <w:pPr>
        <w:spacing w:after="0" w:line="175" w:lineRule="exact"/>
        <w:rPr>
          <w:rFonts w:ascii="Arial" w:cs="Arial" w:eastAsia="Arial" w:hAnsi="Arial"/>
          <w:sz w:val="18"/>
          <w:szCs w:val="18"/>
          <w:b w:val="1"/>
          <w:bCs w:val="1"/>
          <w:color w:val="auto"/>
        </w:rPr>
      </w:pPr>
    </w:p>
    <w:p>
      <w:pPr>
        <w:ind w:left="1040" w:hanging="342"/>
        <w:spacing w:after="0"/>
        <w:tabs>
          <w:tab w:leader="none" w:pos="10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Ferrell Companies, Inc. Incentive Compensation Plans (“ICPs”)</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ICPs are not Ferrellgas stock-compensation plans; however, in accordance with Ferrellgas’ partnership agreements, all Ferrellgas employee-related costs incurred by Ferrell Companies are allocated to Ferrellgas. As a result, Ferrellgas incurs a non-cash compensation charge from Ferrell Companies. During the years ended July 31, 2020, 2019 and 2018, the portion of the total non-cash compensation charge relating to the ICPs was zero. During fiscal 2020 there were no plan-based awards granted under the ICP and all outstanding stock appreciation rights (“SARs”) are currently valued at zero.</w:t>
      </w:r>
    </w:p>
    <w:p>
      <w:pPr>
        <w:spacing w:after="0" w:line="192"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Ferrell Companies is authorized to issue up to 9.25 million SARs that are based on shares of Ferrell Companies common stock. The SARs were established by Ferrell Companies to allow upper-middle and senior level managers as well as directors of the general partner to participate in the equity growth of Ferrell Companies. The SARs awards vest ratably over periods ranging from zero to 10 years or 100% upon a change of control of Ferrell Companies, or upon the death, disability or retirement at the age of 65 of the participant. All awards expire 10 years from the date of issuance. The fair value of each award is estimated on each balance sheet date using a binomial valuation model.</w:t>
      </w:r>
    </w:p>
    <w:p>
      <w:pPr>
        <w:spacing w:after="0" w:line="160" w:lineRule="exact"/>
        <w:rPr>
          <w:sz w:val="20"/>
          <w:szCs w:val="20"/>
          <w:color w:val="auto"/>
        </w:rPr>
      </w:pPr>
    </w:p>
    <w:p>
      <w:pPr>
        <w:ind w:left="1020" w:right="79" w:hanging="322"/>
        <w:spacing w:after="0" w:line="289" w:lineRule="auto"/>
        <w:tabs>
          <w:tab w:leader="none" w:pos="1041"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Ferrellgas Partners is a publicly-traded master limited partnership with one subsidiary that is a</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corporation. The operating partnership is a limited partnership with three subsidiaries that are taxable corporations. Partnerships are generally not subject to federal income tax, although publicly-traded partnerships are treated as corporations for federal income tax purposes and therefore subject to Federal income tax unless a qualifying income test is satisfied. If this qualifying income test is satisfied, the publicly-traded partnership will be treated as a partnership for Federal income tax purposes. Based on Ferrellgas’ calculations, Ferrellgas Partners satisfies the qualifying income test. As a result, except for the taxable corporations, Ferrellgas Partners’ earnings or losses for Federal income tax purposes are included in the tax returns of the individual partners, Ferrellgas Partners’ unitholders. Accordingly, the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19"/>
        <w:spacing w:after="0" w:line="254" w:lineRule="auto"/>
        <w:rPr>
          <w:sz w:val="20"/>
          <w:szCs w:val="20"/>
          <w:color w:val="auto"/>
        </w:rPr>
      </w:pPr>
      <w:r>
        <w:rPr>
          <w:rFonts w:ascii="Arial" w:cs="Arial" w:eastAsia="Arial" w:hAnsi="Arial"/>
          <w:sz w:val="18"/>
          <w:szCs w:val="18"/>
          <w:color w:val="auto"/>
        </w:rPr>
        <w:t>accompanying consolidated financial statements of Ferrellgas Partners reflect federal income taxes related to the above mentioned taxable corporations and certain states that allow for income taxation of partnerships. Net earnings for financial statement purposes may differ significantly from taxable income reportable to Ferrellgas Partners unitholders as a result of differences between the tax basis and financial reporting basis of assets and liabilities, the taxable income allocation requirements under Ferrellgas Partners’ partnership agreement and differences between Ferrellgas Partners’ financial reporting fiscal year end and its calendar tax year end.</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(benefit)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expense (benefit)</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554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(3,818)</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851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(2,678)</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640"/>
              <w:spacing w:after="0"/>
              <w:rPr>
                <w:sz w:val="20"/>
                <w:szCs w:val="20"/>
                <w:color w:val="auto"/>
              </w:rPr>
            </w:pPr>
            <w:r>
              <w:rPr>
                <w:rFonts w:ascii="Arial" w:cs="Arial" w:eastAsia="Arial" w:hAnsi="Arial"/>
                <w:sz w:val="18"/>
                <w:szCs w:val="18"/>
                <w:color w:val="auto"/>
              </w:rPr>
              <w:t>Deferred taxes consisted of the following:</w:t>
            </w: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(included in Other assets,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 (included in Other liabilities)</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219" w:hanging="322"/>
        <w:spacing w:after="0" w:line="282" w:lineRule="auto"/>
        <w:tabs>
          <w:tab w:leader="none" w:pos="104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taxes: </w:t>
      </w:r>
      <w:r>
        <w:rPr>
          <w:rFonts w:ascii="Arial" w:cs="Arial" w:eastAsia="Arial" w:hAnsi="Arial"/>
          <w:sz w:val="18"/>
          <w:szCs w:val="18"/>
          <w:color w:val="auto"/>
        </w:rPr>
        <w:t>Ferrellgas accounts for the collection and remittance of sales tax on a net tax basis.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these amounts are not reflected in the consolidated statements of operations.</w:t>
      </w:r>
    </w:p>
    <w:p>
      <w:pPr>
        <w:spacing w:after="0" w:line="161" w:lineRule="exact"/>
        <w:rPr>
          <w:rFonts w:ascii="Arial" w:cs="Arial" w:eastAsia="Arial" w:hAnsi="Arial"/>
          <w:sz w:val="18"/>
          <w:szCs w:val="18"/>
          <w:b w:val="1"/>
          <w:bCs w:val="1"/>
          <w:color w:val="auto"/>
        </w:rPr>
      </w:pPr>
    </w:p>
    <w:p>
      <w:pPr>
        <w:ind w:left="1020" w:right="159" w:hanging="322"/>
        <w:spacing w:after="0" w:line="258" w:lineRule="auto"/>
        <w:tabs>
          <w:tab w:leader="none" w:pos="104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common unitholders’ interest: </w:t>
      </w:r>
      <w:r>
        <w:rPr>
          <w:rFonts w:ascii="Arial" w:cs="Arial" w:eastAsia="Arial" w:hAnsi="Arial"/>
          <w:sz w:val="18"/>
          <w:szCs w:val="18"/>
          <w:color w:val="auto"/>
        </w:rPr>
        <w:t>Net loss per common unitholders’ interest is computed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“Net loss attributable to Ferrellgas Partners, L.P.,” after deducting the general partner’s approximate 1% interest, by the weighted average number of outstanding common units and the dilutive effect, if any, of outstanding unit options. See Note Q – Net loss per common unitholders’ interest – for further discussion about these calculations.</w:t>
      </w:r>
    </w:p>
    <w:p>
      <w:pPr>
        <w:spacing w:after="0" w:line="183" w:lineRule="exact"/>
        <w:rPr>
          <w:rFonts w:ascii="Arial" w:cs="Arial" w:eastAsia="Arial" w:hAnsi="Arial"/>
          <w:sz w:val="18"/>
          <w:szCs w:val="18"/>
          <w:b w:val="1"/>
          <w:bCs w:val="1"/>
          <w:color w:val="auto"/>
        </w:rPr>
      </w:pPr>
    </w:p>
    <w:p>
      <w:pPr>
        <w:ind w:left="1020" w:right="79" w:hanging="322"/>
        <w:spacing w:after="0" w:line="256" w:lineRule="auto"/>
        <w:tabs>
          <w:tab w:leader="none" w:pos="1041"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contingencies: </w:t>
      </w:r>
      <w:r>
        <w:rPr>
          <w:rFonts w:ascii="Arial" w:cs="Arial" w:eastAsia="Arial" w:hAnsi="Arial"/>
          <w:sz w:val="18"/>
          <w:szCs w:val="18"/>
          <w:color w:val="auto"/>
        </w:rPr>
        <w:t>In the normal course of business, Ferrellgas is involved in various claims and legal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Ferrellgas records a liability for 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loss contingencies are expensed as incurred.</w:t>
      </w:r>
    </w:p>
    <w:p>
      <w:pPr>
        <w:spacing w:after="0" w:line="187" w:lineRule="exact"/>
        <w:rPr>
          <w:rFonts w:ascii="Arial" w:cs="Arial" w:eastAsia="Arial" w:hAnsi="Arial"/>
          <w:sz w:val="18"/>
          <w:szCs w:val="18"/>
          <w:b w:val="1"/>
          <w:bCs w:val="1"/>
          <w:color w:val="auto"/>
        </w:rPr>
      </w:pPr>
    </w:p>
    <w:p>
      <w:pPr>
        <w:ind w:left="1040" w:hanging="342"/>
        <w:spacing w:after="0"/>
        <w:tabs>
          <w:tab w:leader="none" w:pos="10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FASB Accounting Standard Update No. 2016-02</w:t>
      </w:r>
    </w:p>
    <w:p>
      <w:pPr>
        <w:spacing w:after="0" w:line="27"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 increase transparency and comparability among organizations by recognizing lease assets and lease liabilities on the balance sheet and disclosing key information about leasing arrangements. ASU 2016-02 became effective for Ferrellgas for its annual reporting period beginning August 1, 2019, including interim periods within that reporting period. Ferrellgas adopted the standard using the transition relief option in ASU 2018-11, “Leases: Targeted Improvements” which, among other things, provides entities with an option to recognize the cumulative-effect adjustment from the modified retrospective application to the opening balance of retained earnings in the period of adoption and consequently, to continue to report comparative periods in compliance with the prior guidance (ASC 840).</w:t>
      </w:r>
    </w:p>
    <w:p>
      <w:pPr>
        <w:spacing w:after="0" w:line="183" w:lineRule="exact"/>
        <w:rPr>
          <w:sz w:val="20"/>
          <w:szCs w:val="20"/>
          <w:color w:val="auto"/>
        </w:rPr>
      </w:pPr>
    </w:p>
    <w:p>
      <w:pPr>
        <w:ind w:left="60" w:right="599" w:firstLine="648"/>
        <w:spacing w:after="0" w:line="342" w:lineRule="auto"/>
        <w:rPr>
          <w:sz w:val="20"/>
          <w:szCs w:val="20"/>
          <w:color w:val="auto"/>
        </w:rPr>
      </w:pPr>
      <w:r>
        <w:rPr>
          <w:rFonts w:ascii="Arial" w:cs="Arial" w:eastAsia="Arial" w:hAnsi="Arial"/>
          <w:sz w:val="16"/>
          <w:szCs w:val="16"/>
          <w:color w:val="auto"/>
        </w:rPr>
        <w:t>Ferrellgas elected the short-term lease recognition exemption for all leases that qualify, meaning it does not recognize right-of-use assets (“ROU assets”) or lease liabilities for those leases. Ferrellgas also elected the practical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expedient to not separate lease and non-lease components for its most significant leasing activity, which includes vehicle and real estate leases.</w:t>
      </w:r>
    </w:p>
    <w:p>
      <w:pPr>
        <w:spacing w:after="0" w:line="17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Additionally, Ferrellgas elected the package of three practical expedients which allows entities to not reassess initial direct costs, lease classification for existing or expired leases, and lease definition for existing or expired contracts as of the effective date of August 1, 2019. Ferrellgas did not, however, elect the hindsight method practical expedient which would have allowed it to reassess lease terms and impairment.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FASB Accounting Standard Update No. 2016-13</w:t>
      </w:r>
    </w:p>
    <w:p>
      <w:pPr>
        <w:spacing w:after="0" w:line="27"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adopted the amended guidance effective August 1, 2020. Ferrellgas does not expect this adoption to have a material impact on the consolidated financial statements.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FASB Accounting Standard Update No. 2017-12</w:t>
      </w:r>
    </w:p>
    <w:p>
      <w:pPr>
        <w:spacing w:after="0" w:line="27" w:lineRule="exact"/>
        <w:rPr>
          <w:sz w:val="20"/>
          <w:szCs w:val="20"/>
          <w:color w:val="auto"/>
        </w:rPr>
      </w:pPr>
    </w:p>
    <w:p>
      <w:pPr>
        <w:ind w:left="60" w:right="119" w:firstLine="648"/>
        <w:spacing w:after="0" w:line="216" w:lineRule="exact"/>
        <w:rPr>
          <w:sz w:val="20"/>
          <w:szCs w:val="20"/>
          <w:color w:val="auto"/>
        </w:rPr>
      </w:pPr>
      <w:r>
        <w:rPr>
          <w:rFonts w:ascii="Arial" w:cs="Arial" w:eastAsia="Arial" w:hAnsi="Arial"/>
          <w:sz w:val="17"/>
          <w:szCs w:val="17"/>
          <w:color w:val="auto"/>
        </w:rPr>
        <w:t>In August 2017, the FASB issued ASU 2017</w:t>
      </w:r>
      <w:r>
        <w:rPr>
          <w:rFonts w:ascii="MS PGothic" w:cs="MS PGothic" w:eastAsia="MS PGothic" w:hAnsi="MS PGothic"/>
          <w:sz w:val="17"/>
          <w:szCs w:val="17"/>
          <w:color w:val="auto"/>
        </w:rPr>
        <w:t>‑</w:t>
      </w:r>
      <w:r>
        <w:rPr>
          <w:rFonts w:ascii="Arial" w:cs="Arial" w:eastAsia="Arial" w:hAnsi="Arial"/>
          <w:sz w:val="17"/>
          <w:szCs w:val="17"/>
          <w:color w:val="auto"/>
        </w:rPr>
        <w:t xml:space="preserve">12, </w:t>
      </w:r>
      <w:r>
        <w:rPr>
          <w:rFonts w:ascii="Arial" w:cs="Arial" w:eastAsia="Arial" w:hAnsi="Arial"/>
          <w:sz w:val="17"/>
          <w:szCs w:val="17"/>
          <w:i w:val="1"/>
          <w:iCs w:val="1"/>
          <w:color w:val="auto"/>
        </w:rPr>
        <w:t>Financial Instruments - Derivatives and Hedging (Topic 815)</w:t>
      </w:r>
      <w:r>
        <w:rPr>
          <w:rFonts w:ascii="Arial" w:cs="Arial" w:eastAsia="Arial" w:hAnsi="Arial"/>
          <w:sz w:val="17"/>
          <w:szCs w:val="17"/>
          <w:color w:val="auto"/>
        </w:rPr>
        <w:t xml:space="preserve"> - Targeted Improvements to Accounting for Hedging Activities, which is intended to improve the financial reporting for hedging relationships to better portray the economic results of an entity’s risk management activities in its financial statements. This standard became effective for Ferrellgas for its fiscal year beginning August 1, 2019, including interim periods within that reporting period. Ferrellgas applied ASU No. 2017-12 using a modified retrospective approach for cash flow hedges existing at the date of adoption and prospectively for the presentation and disclosure guidance. The adoption of this standard did not have a material impact on our consolidated financial statements.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FFFFFF"/>
        </w:rPr>
        <w:t>.</w:t>
      </w:r>
    </w:p>
    <w:p>
      <w:pPr>
        <w:spacing w:after="0" w:line="207" w:lineRule="exact"/>
        <w:rPr>
          <w:sz w:val="20"/>
          <w:szCs w:val="20"/>
          <w:color w:val="auto"/>
        </w:rPr>
      </w:pPr>
    </w:p>
    <w:p>
      <w:pPr>
        <w:ind w:left="580" w:hanging="530"/>
        <w:spacing w:after="0"/>
        <w:tabs>
          <w:tab w:leader="none" w:pos="5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Ferrellgas determines if an arrangement is a lease or contains a lease at inception. Ferrellgas leases certain transportation and computer equipment and real estate, predominantly through operating leases. Ferrellgas has an immaterial amount of leases in which it is the lessor. Operating lease rentals are expensed on a straight-line basis over the life of the lease beginning on the lease commencement date. Ferrellgas determines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ROU assets, and current and long-term operating lease liabilities on Ferrellgas’ consolidated balance sheet. Ferrellgas classifies finance leases in “Other assets, net”, “Other current liabilities”, and “Other liabilities” on the consolidated balance sheet.</w:t>
      </w:r>
    </w:p>
    <w:p>
      <w:pPr>
        <w:spacing w:after="0" w:line="166" w:lineRule="exact"/>
        <w:rPr>
          <w:sz w:val="20"/>
          <w:szCs w:val="20"/>
          <w:color w:val="auto"/>
        </w:rPr>
      </w:pPr>
    </w:p>
    <w:p>
      <w:pPr>
        <w:ind w:left="60" w:right="119" w:firstLine="648"/>
        <w:spacing w:after="0" w:line="313" w:lineRule="auto"/>
        <w:rPr>
          <w:sz w:val="20"/>
          <w:szCs w:val="20"/>
          <w:color w:val="auto"/>
        </w:rPr>
      </w:pPr>
      <w:r>
        <w:rPr>
          <w:rFonts w:ascii="Arial" w:cs="Arial" w:eastAsia="Arial" w:hAnsi="Arial"/>
          <w:sz w:val="15"/>
          <w:szCs w:val="15"/>
          <w:color w:val="auto"/>
        </w:rPr>
        <w:t>ROU assets represent Ferrellgas’ right to use an underlying asset for the lease term and lease liabilities represent its obligation to make lease payments arising from the lease. Operating lease ROU assets and liabilities are recognized at the commencement date based on the present value of lease payments over the lease term. As most of Ferrellgas’ leases do not provide an implicit discount rate, Ferrellgas uses its incremental borrowing rate adjusted for the lease term to represent the rate it would have to pay to borrow on a collateralized basis based on the information available at the commencement date in determining the present value of lease payments. Ferrellgas’ lease terms may include options to extend or terminate the lease and it will adjust the life of the lease when it is reasonably certain that it will exercise these options.</w:t>
      </w:r>
    </w:p>
    <w:p>
      <w:pPr>
        <w:spacing w:after="0" w:line="153"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Ferrellgas has lease agreements with lease and non-lease components, which are generally accounted for as a single lease component. Ferrellgas has variable lease components, including lease payments with payment escalation based on the Consumer Price Index, and other variable items, such as common area maintenance and taxes.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Key assumptions include the discount rate, the impact of purchase options and renewal options on Ferrellgas’ lease term, as well as the assessment of residual value guarantees.</w:t>
      </w:r>
    </w:p>
    <w:p>
      <w:pPr>
        <w:spacing w:after="0" w:line="170"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Ferrellgas’ transportation equipment leases generally have purchase options. However, in most circumstances Ferrellgas is not certain if it will exercise the purchase option at lease inception. As circumstances dictate, it may instead return the existing equipment to the lessor and sign a new lease. Ferrellgas’ transportation equipment leases often contain residual value guarantees, but they are not reflected in Ferrellgas’ lease liabilities as its lease rates are such that residual value guarantees are not expected to be owed at the end of its leases.</w:t>
      </w:r>
    </w:p>
    <w:p>
      <w:pPr>
        <w:spacing w:after="0" w:line="1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Ferrellgas’ real estate leases will often have an option to extend the lease, but it is typically not reasonably certain of exercising options to extend. As customer demand changes over time, Ferrellgas typically maintains the ability to move to more advantageous locations, relocate to other leased and owned locations, or discontinue service from particular locations.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the operating and financing ROU assets and lease liabilities as of July 31, 2020:</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3240" w:type="dxa"/>
            <w:vAlign w:val="bottom"/>
          </w:tcPr>
          <w:p>
            <w:pPr>
              <w:ind w:left="120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4"/>
                <w:szCs w:val="14"/>
                <w:color w:val="auto"/>
              </w:rPr>
            </w:pPr>
          </w:p>
        </w:tc>
        <w:tc>
          <w:tcPr>
            <w:tcW w:w="2300" w:type="dxa"/>
            <w:vAlign w:val="bottom"/>
            <w:gridSpan w:val="2"/>
          </w:tcPr>
          <w:p>
            <w:pPr>
              <w:ind w:left="740"/>
              <w:spacing w:after="0"/>
              <w:rPr>
                <w:sz w:val="20"/>
                <w:szCs w:val="20"/>
                <w:color w:val="auto"/>
              </w:rPr>
            </w:pPr>
            <w:r>
              <w:rPr>
                <w:rFonts w:ascii="Arial" w:cs="Arial" w:eastAsia="Arial" w:hAnsi="Arial"/>
                <w:sz w:val="14"/>
                <w:szCs w:val="14"/>
                <w:b w:val="1"/>
                <w:bCs w:val="1"/>
                <w:color w:val="auto"/>
              </w:rPr>
              <w:t>July 31, 2020</w:t>
            </w:r>
          </w:p>
        </w:tc>
        <w:tc>
          <w:tcPr>
            <w:tcW w:w="0" w:type="dxa"/>
            <w:vAlign w:val="bottom"/>
          </w:tcPr>
          <w:p>
            <w:pPr>
              <w:spacing w:after="0"/>
              <w:rPr>
                <w:sz w:val="1"/>
                <w:szCs w:val="1"/>
                <w:color w:val="auto"/>
              </w:rPr>
            </w:pPr>
          </w:p>
        </w:tc>
      </w:tr>
      <w:tr>
        <w:trPr>
          <w:trHeight w:val="209"/>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32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107,349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lease assets</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340" w:type="dxa"/>
            <w:vAlign w:val="bottom"/>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leased assets</w:t>
            </w:r>
          </w:p>
        </w:tc>
        <w:tc>
          <w:tcPr>
            <w:tcW w:w="32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324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w:t>
            </w:r>
          </w:p>
        </w:tc>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leased liabilities</w:t>
            </w:r>
          </w:p>
        </w:tc>
        <w:tc>
          <w:tcPr>
            <w:tcW w:w="3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vMerge w:val="restart"/>
          </w:tcPr>
          <w:p>
            <w:pPr>
              <w:ind w:left="1260"/>
              <w:spacing w:after="0"/>
              <w:rPr>
                <w:sz w:val="20"/>
                <w:szCs w:val="20"/>
                <w:color w:val="auto"/>
              </w:rPr>
            </w:pPr>
            <w:r>
              <w:rPr>
                <w:rFonts w:ascii="Arial" w:cs="Arial" w:eastAsia="Arial" w:hAnsi="Arial"/>
                <w:sz w:val="18"/>
                <w:szCs w:val="18"/>
                <w:color w:val="auto"/>
              </w:rPr>
              <w:t>F-16</w:t>
            </w:r>
          </w:p>
        </w:tc>
        <w:tc>
          <w:tcPr>
            <w:tcW w:w="3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the lease expenses for the twelve months ended July 31, 2020:</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Leases expense</w:t>
            </w:r>
          </w:p>
        </w:tc>
        <w:tc>
          <w:tcPr>
            <w:tcW w:w="180" w:type="dxa"/>
            <w:vAlign w:val="bottom"/>
            <w:vMerge w:val="restart"/>
          </w:tcPr>
          <w:p>
            <w:pPr>
              <w:spacing w:after="0"/>
              <w:rPr>
                <w:sz w:val="14"/>
                <w:szCs w:val="14"/>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Classification</w:t>
            </w:r>
          </w:p>
        </w:tc>
        <w:tc>
          <w:tcPr>
            <w:tcW w:w="180" w:type="dxa"/>
            <w:vAlign w:val="bottom"/>
            <w:vMerge w:val="restart"/>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2020</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40"/>
        <w:spacing w:after="0"/>
        <w:rPr>
          <w:sz w:val="20"/>
          <w:szCs w:val="20"/>
          <w:color w:val="auto"/>
        </w:rPr>
      </w:pPr>
      <w:r>
        <w:rPr>
          <w:rFonts w:ascii="Arial" w:cs="Arial" w:eastAsia="Arial" w:hAnsi="Arial"/>
          <w:sz w:val="18"/>
          <w:szCs w:val="18"/>
          <w:color w:val="auto"/>
        </w:rPr>
        <w:t>Operating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operating lease expense</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expense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short-term expense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expense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variable lease expense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leased assets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8"/>
          <w:szCs w:val="18"/>
          <w:color w:val="auto"/>
        </w:rPr>
        <w:t>Operating expense - personnel, vehicle, plant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-273050</wp:posOffset>
            </wp:positionV>
            <wp:extent cx="5657850"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Operating expense - equipment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13335</wp:posOffset>
            </wp:positionV>
            <wp:extent cx="565785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Cost of sales - propane and other gas liquids sales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5715</wp:posOffset>
            </wp:positionV>
            <wp:extent cx="565785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expense - personnel, vehicle, plant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-273050</wp:posOffset>
            </wp:positionV>
            <wp:extent cx="565785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5715</wp:posOffset>
            </wp:positionV>
            <wp:extent cx="565785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expense - personnel, vehicle, plant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-273050</wp:posOffset>
            </wp:positionV>
            <wp:extent cx="5657850"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Operating expense - equipment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295910</wp:posOffset>
            </wp:positionV>
            <wp:extent cx="565785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13335</wp:posOffset>
            </wp:positionV>
            <wp:extent cx="565785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780"/>
        <w:spacing w:after="0" w:line="270" w:lineRule="auto"/>
        <w:rPr>
          <w:sz w:val="20"/>
          <w:szCs w:val="20"/>
          <w:color w:val="auto"/>
        </w:rPr>
      </w:pPr>
      <w:r>
        <w:rPr>
          <w:rFonts w:ascii="Arial" w:cs="Arial" w:eastAsia="Arial" w:hAnsi="Arial"/>
          <w:sz w:val="18"/>
          <w:szCs w:val="18"/>
          <w:color w:val="auto"/>
        </w:rPr>
        <w:t>Depreciation and amortization expense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-148590</wp:posOffset>
            </wp:positionV>
            <wp:extent cx="565785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209" w:hanging="1209"/>
        <w:spacing w:after="0"/>
        <w:tabs>
          <w:tab w:leader="none" w:pos="1209" w:val="left"/>
        </w:tabs>
        <w:numPr>
          <w:ilvl w:val="0"/>
          <w:numId w:val="88"/>
        </w:numPr>
        <w:rPr>
          <w:rFonts w:ascii="Arial" w:cs="Arial" w:eastAsia="Arial" w:hAnsi="Arial"/>
          <w:sz w:val="15"/>
          <w:szCs w:val="15"/>
          <w:color w:val="auto"/>
        </w:rPr>
      </w:pPr>
      <w:r>
        <w:rPr>
          <w:rFonts w:ascii="Arial" w:cs="Arial" w:eastAsia="Arial" w:hAnsi="Arial"/>
          <w:sz w:val="15"/>
          <w:szCs w:val="15"/>
          <w:color w:val="auto"/>
        </w:rPr>
        <w:t>7,450</w:t>
      </w:r>
    </w:p>
    <w:p>
      <w:pPr>
        <w:spacing w:after="0" w:line="57" w:lineRule="exact"/>
        <w:rPr>
          <w:rFonts w:ascii="Arial" w:cs="Arial" w:eastAsia="Arial" w:hAnsi="Arial"/>
          <w:sz w:val="15"/>
          <w:szCs w:val="15"/>
          <w:color w:val="auto"/>
        </w:rPr>
      </w:pPr>
    </w:p>
    <w:p>
      <w:pPr>
        <w:ind w:left="1109"/>
        <w:spacing w:after="0"/>
        <w:rPr>
          <w:rFonts w:ascii="Arial" w:cs="Arial" w:eastAsia="Arial" w:hAnsi="Arial"/>
          <w:sz w:val="15"/>
          <w:szCs w:val="15"/>
          <w:color w:val="auto"/>
        </w:rPr>
      </w:pPr>
      <w:r>
        <w:rPr>
          <w:rFonts w:ascii="Arial" w:cs="Arial" w:eastAsia="Arial" w:hAnsi="Arial"/>
          <w:sz w:val="16"/>
          <w:szCs w:val="16"/>
          <w:color w:val="auto"/>
        </w:rPr>
        <w:t>30,994</w:t>
      </w:r>
    </w:p>
    <w:p>
      <w:pPr>
        <w:spacing w:after="0" w:line="32"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1,553</w:t>
      </w:r>
    </w:p>
    <w:p>
      <w:pPr>
        <w:spacing w:after="0" w:line="43"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1,490</w:t>
      </w:r>
    </w:p>
    <w:p>
      <w:pPr>
        <w:spacing w:after="0" w:line="44" w:lineRule="exact"/>
        <w:rPr>
          <w:sz w:val="20"/>
          <w:szCs w:val="20"/>
          <w:color w:val="auto"/>
        </w:rPr>
      </w:pPr>
    </w:p>
    <w:p>
      <w:pPr>
        <w:ind w:left="1109" w:hanging="1109"/>
        <w:spacing w:after="0"/>
        <w:tabs>
          <w:tab w:leader="none" w:pos="11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41,487</w:t>
      </w:r>
    </w:p>
    <w:p>
      <w:pPr>
        <w:spacing w:after="0" w:line="200" w:lineRule="exact"/>
        <w:rPr>
          <w:sz w:val="20"/>
          <w:szCs w:val="20"/>
          <w:color w:val="auto"/>
        </w:rPr>
      </w:pPr>
    </w:p>
    <w:p>
      <w:pPr>
        <w:spacing w:after="0" w:line="263" w:lineRule="exact"/>
        <w:rPr>
          <w:sz w:val="20"/>
          <w:szCs w:val="20"/>
          <w:color w:val="auto"/>
        </w:rPr>
      </w:pPr>
    </w:p>
    <w:p>
      <w:pPr>
        <w:ind w:left="1209" w:hanging="1209"/>
        <w:spacing w:after="0"/>
        <w:tabs>
          <w:tab w:leader="none" w:pos="1209" w:val="left"/>
        </w:tabs>
        <w:numPr>
          <w:ilvl w:val="0"/>
          <w:numId w:val="90"/>
        </w:numPr>
        <w:rPr>
          <w:rFonts w:ascii="Arial" w:cs="Arial" w:eastAsia="Arial" w:hAnsi="Arial"/>
          <w:sz w:val="15"/>
          <w:szCs w:val="15"/>
          <w:color w:val="auto"/>
        </w:rPr>
      </w:pPr>
      <w:r>
        <w:rPr>
          <w:rFonts w:ascii="Arial" w:cs="Arial" w:eastAsia="Arial" w:hAnsi="Arial"/>
          <w:sz w:val="15"/>
          <w:szCs w:val="15"/>
          <w:color w:val="auto"/>
        </w:rPr>
        <w:t>7,188</w:t>
      </w:r>
    </w:p>
    <w:p>
      <w:pPr>
        <w:spacing w:after="0" w:line="57"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6"/>
          <w:szCs w:val="16"/>
          <w:color w:val="auto"/>
        </w:rPr>
        <w:t>502</w:t>
      </w:r>
    </w:p>
    <w:p>
      <w:pPr>
        <w:spacing w:after="0" w:line="32" w:lineRule="exact"/>
        <w:rPr>
          <w:sz w:val="20"/>
          <w:szCs w:val="20"/>
          <w:color w:val="auto"/>
        </w:rPr>
      </w:pPr>
    </w:p>
    <w:p>
      <w:pPr>
        <w:ind w:left="1209" w:hanging="1209"/>
        <w:spacing w:after="0"/>
        <w:tabs>
          <w:tab w:leader="none" w:pos="1209" w:val="left"/>
        </w:tabs>
        <w:numPr>
          <w:ilvl w:val="0"/>
          <w:numId w:val="91"/>
        </w:numPr>
        <w:rPr>
          <w:rFonts w:ascii="Arial" w:cs="Arial" w:eastAsia="Arial" w:hAnsi="Arial"/>
          <w:sz w:val="15"/>
          <w:szCs w:val="15"/>
          <w:color w:val="auto"/>
        </w:rPr>
      </w:pPr>
      <w:r>
        <w:rPr>
          <w:rFonts w:ascii="Arial" w:cs="Arial" w:eastAsia="Arial" w:hAnsi="Arial"/>
          <w:sz w:val="15"/>
          <w:szCs w:val="15"/>
          <w:color w:val="auto"/>
        </w:rPr>
        <w:t>7,690</w:t>
      </w:r>
    </w:p>
    <w:p>
      <w:pPr>
        <w:spacing w:after="0" w:line="200" w:lineRule="exact"/>
        <w:rPr>
          <w:sz w:val="20"/>
          <w:szCs w:val="20"/>
          <w:color w:val="auto"/>
        </w:rPr>
      </w:pPr>
    </w:p>
    <w:p>
      <w:pPr>
        <w:spacing w:after="0" w:line="275" w:lineRule="exact"/>
        <w:rPr>
          <w:sz w:val="20"/>
          <w:szCs w:val="20"/>
          <w:color w:val="auto"/>
        </w:rPr>
      </w:pPr>
    </w:p>
    <w:p>
      <w:pPr>
        <w:ind w:left="1209" w:hanging="1209"/>
        <w:spacing w:after="0"/>
        <w:tabs>
          <w:tab w:leader="none" w:pos="1209" w:val="left"/>
        </w:tabs>
        <w:numPr>
          <w:ilvl w:val="0"/>
          <w:numId w:val="92"/>
        </w:numPr>
        <w:rPr>
          <w:rFonts w:ascii="Arial" w:cs="Arial" w:eastAsia="Arial" w:hAnsi="Arial"/>
          <w:sz w:val="15"/>
          <w:szCs w:val="15"/>
          <w:color w:val="auto"/>
        </w:rPr>
      </w:pPr>
      <w:r>
        <w:rPr>
          <w:rFonts w:ascii="Arial" w:cs="Arial" w:eastAsia="Arial" w:hAnsi="Arial"/>
          <w:sz w:val="15"/>
          <w:szCs w:val="15"/>
          <w:color w:val="auto"/>
        </w:rPr>
        <w:t>2,883</w:t>
      </w:r>
    </w:p>
    <w:p>
      <w:pPr>
        <w:spacing w:after="0" w:line="57"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1,642</w:t>
      </w:r>
    </w:p>
    <w:p>
      <w:pPr>
        <w:spacing w:after="0" w:line="44" w:lineRule="exact"/>
        <w:rPr>
          <w:sz w:val="20"/>
          <w:szCs w:val="20"/>
          <w:color w:val="auto"/>
        </w:rPr>
      </w:pPr>
    </w:p>
    <w:p>
      <w:pPr>
        <w:ind w:left="1209" w:hanging="1209"/>
        <w:spacing w:after="0"/>
        <w:tabs>
          <w:tab w:leader="none" w:pos="1209" w:val="left"/>
        </w:tabs>
        <w:numPr>
          <w:ilvl w:val="0"/>
          <w:numId w:val="93"/>
        </w:numPr>
        <w:rPr>
          <w:rFonts w:ascii="Arial" w:cs="Arial" w:eastAsia="Arial" w:hAnsi="Arial"/>
          <w:sz w:val="15"/>
          <w:szCs w:val="15"/>
          <w:color w:val="auto"/>
        </w:rPr>
      </w:pPr>
      <w:r>
        <w:rPr>
          <w:rFonts w:ascii="Arial" w:cs="Arial" w:eastAsia="Arial" w:hAnsi="Arial"/>
          <w:sz w:val="15"/>
          <w:szCs w:val="15"/>
          <w:color w:val="auto"/>
        </w:rPr>
        <w:t>4,525</w:t>
      </w:r>
    </w:p>
    <w:p>
      <w:pPr>
        <w:spacing w:after="0" w:line="200" w:lineRule="exact"/>
        <w:rPr>
          <w:sz w:val="20"/>
          <w:szCs w:val="20"/>
          <w:color w:val="auto"/>
        </w:rPr>
      </w:pPr>
    </w:p>
    <w:p>
      <w:pPr>
        <w:spacing w:after="0" w:line="275" w:lineRule="exact"/>
        <w:rPr>
          <w:sz w:val="20"/>
          <w:szCs w:val="20"/>
          <w:color w:val="auto"/>
        </w:rPr>
      </w:pPr>
    </w:p>
    <w:p>
      <w:pPr>
        <w:ind w:left="1209" w:hanging="1209"/>
        <w:spacing w:after="0"/>
        <w:tabs>
          <w:tab w:leader="none" w:pos="1209" w:val="left"/>
        </w:tabs>
        <w:numPr>
          <w:ilvl w:val="0"/>
          <w:numId w:val="94"/>
        </w:numPr>
        <w:rPr>
          <w:rFonts w:ascii="Arial" w:cs="Arial" w:eastAsia="Arial" w:hAnsi="Arial"/>
          <w:sz w:val="15"/>
          <w:szCs w:val="15"/>
          <w:color w:val="auto"/>
        </w:rPr>
      </w:pPr>
      <w:r>
        <w:rPr>
          <w:rFonts w:ascii="Arial" w:cs="Arial" w:eastAsia="Arial" w:hAnsi="Arial"/>
          <w:sz w:val="15"/>
          <w:szCs w:val="15"/>
          <w:color w:val="auto"/>
        </w:rPr>
        <w:t>2,613</w:t>
      </w:r>
    </w:p>
    <w:p>
      <w:pPr>
        <w:spacing w:after="0" w:line="57"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1,060</w:t>
      </w:r>
    </w:p>
    <w:p>
      <w:pPr>
        <w:spacing w:after="0" w:line="63" w:lineRule="exact"/>
        <w:rPr>
          <w:sz w:val="20"/>
          <w:szCs w:val="20"/>
          <w:color w:val="auto"/>
        </w:rPr>
      </w:pPr>
    </w:p>
    <w:p>
      <w:pPr>
        <w:sectPr>
          <w:pgSz w:w="11900" w:h="16838" w:orient="portrait"/>
          <w:cols w:equalWidth="0" w:num="3">
            <w:col w:w="2540" w:space="720"/>
            <w:col w:w="3580" w:space="451"/>
            <w:col w:w="1728"/>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line="190" w:lineRule="exact"/>
              <w:rPr>
                <w:sz w:val="20"/>
                <w:szCs w:val="20"/>
                <w:color w:val="auto"/>
              </w:rPr>
            </w:pPr>
            <w:r>
              <w:rPr>
                <w:rFonts w:ascii="Arial" w:cs="Arial" w:eastAsia="Arial" w:hAnsi="Arial"/>
                <w:sz w:val="18"/>
                <w:szCs w:val="18"/>
                <w:color w:val="auto"/>
              </w:rPr>
              <w:t>Total finance lease expense</w:t>
            </w:r>
          </w:p>
        </w:tc>
        <w:tc>
          <w:tcPr>
            <w:tcW w:w="620" w:type="dxa"/>
            <w:vAlign w:val="bottom"/>
            <w:tcBorders>
              <w:top w:val="single" w:sz="8" w:color="auto"/>
            </w:tcBorders>
          </w:tcPr>
          <w:p>
            <w:pPr>
              <w:jc w:val="right"/>
              <w:ind w:right="430"/>
              <w:spacing w:after="0" w:line="19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3,673</w:t>
            </w:r>
          </w:p>
        </w:tc>
      </w:tr>
      <w:tr>
        <w:trPr>
          <w:trHeight w:val="216"/>
        </w:trPr>
        <w:tc>
          <w:tcPr>
            <w:tcW w:w="7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24"/>
        </w:trPr>
        <w:tc>
          <w:tcPr>
            <w:tcW w:w="7240" w:type="dxa"/>
            <w:vAlign w:val="bottom"/>
          </w:tcPr>
          <w:p>
            <w:pPr>
              <w:spacing w:after="0"/>
              <w:rPr>
                <w:sz w:val="20"/>
                <w:szCs w:val="20"/>
                <w:color w:val="auto"/>
              </w:rPr>
            </w:pPr>
            <w:r>
              <w:rPr>
                <w:rFonts w:ascii="Arial" w:cs="Arial" w:eastAsia="Arial" w:hAnsi="Arial"/>
                <w:sz w:val="18"/>
                <w:szCs w:val="18"/>
                <w:color w:val="auto"/>
              </w:rPr>
              <w:t>Total lease expense (a)</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-8255</wp:posOffset>
            </wp:positionV>
            <wp:extent cx="10547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700" w:right="79" w:hanging="326"/>
        <w:spacing w:after="0" w:line="259"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July 31, 2020 Ferrellgas has also recognized $0.5 million of expense related to the accretion of lease exit costs associated with a crude oil storage agreement that is no longer being utilized, primarily due to the various Midstream dispositions described in Note D – Acquisitions, dispositions and other significant transactions, and for which Ferrellgas does not anticipate any future economic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-566420</wp:posOffset>
            </wp:positionV>
            <wp:extent cx="10547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Minimum annual payments under existing operating and finance lease liabilities as of July 31, 2020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Maturities of lease liabilities</w:t>
            </w:r>
          </w:p>
        </w:tc>
        <w:tc>
          <w:tcPr>
            <w:tcW w:w="12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4"/>
                <w:szCs w:val="14"/>
                <w:color w:val="auto"/>
              </w:rPr>
            </w:pPr>
          </w:p>
        </w:tc>
        <w:tc>
          <w:tcPr>
            <w:tcW w:w="2240" w:type="dxa"/>
            <w:vAlign w:val="bottom"/>
          </w:tcPr>
          <w:p>
            <w:pPr>
              <w:jc w:val="right"/>
              <w:ind w:right="1812"/>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44,891</w:t>
            </w:r>
          </w:p>
        </w:tc>
      </w:tr>
      <w:tr>
        <w:trPr>
          <w:trHeight w:val="216"/>
        </w:trPr>
        <w:tc>
          <w:tcPr>
            <w:tcW w:w="2760" w:type="dxa"/>
            <w:vAlign w:val="bottom"/>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36,586</w:t>
            </w:r>
          </w:p>
        </w:tc>
      </w:tr>
      <w:tr>
        <w:trPr>
          <w:trHeight w:val="216"/>
        </w:trPr>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43,358</w:t>
            </w:r>
          </w:p>
        </w:tc>
      </w:tr>
      <w:tr>
        <w:trPr>
          <w:trHeight w:val="216"/>
        </w:trPr>
        <w:tc>
          <w:tcPr>
            <w:tcW w:w="276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25,075</w:t>
            </w:r>
          </w:p>
        </w:tc>
      </w:tr>
      <w:tr>
        <w:trPr>
          <w:trHeight w:val="216"/>
        </w:trPr>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19,786</w:t>
            </w:r>
          </w:p>
        </w:tc>
      </w:tr>
      <w:tr>
        <w:trPr>
          <w:trHeight w:val="216"/>
        </w:trPr>
        <w:tc>
          <w:tcPr>
            <w:tcW w:w="28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31,849</w:t>
            </w:r>
          </w:p>
        </w:tc>
      </w:tr>
      <w:tr>
        <w:trPr>
          <w:trHeight w:val="210"/>
        </w:trPr>
        <w:tc>
          <w:tcPr>
            <w:tcW w:w="2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201,545</w:t>
            </w:r>
          </w:p>
        </w:tc>
      </w:tr>
      <w:tr>
        <w:trPr>
          <w:trHeight w:val="216"/>
        </w:trPr>
        <w:tc>
          <w:tcPr>
            <w:tcW w:w="28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42,750</w:t>
            </w:r>
          </w:p>
        </w:tc>
      </w:tr>
      <w:tr>
        <w:trPr>
          <w:trHeight w:val="210"/>
        </w:trPr>
        <w:tc>
          <w:tcPr>
            <w:tcW w:w="2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158,795</w:t>
            </w: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the weighted-average remaining lease term and discount rate as of July 31, 2020:</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Lease type</w:t>
            </w:r>
          </w:p>
        </w:tc>
        <w:tc>
          <w:tcPr>
            <w:tcW w:w="3560" w:type="dxa"/>
            <w:vAlign w:val="bottom"/>
            <w:tcBorders>
              <w:bottom w:val="single" w:sz="8" w:color="auto"/>
            </w:tcBorders>
            <w:gridSpan w:val="3"/>
          </w:tcPr>
          <w:p>
            <w:pPr>
              <w:ind w:left="2320"/>
              <w:spacing w:after="0"/>
              <w:rPr>
                <w:sz w:val="20"/>
                <w:szCs w:val="20"/>
                <w:color w:val="auto"/>
              </w:rPr>
            </w:pPr>
            <w:r>
              <w:rPr>
                <w:rFonts w:ascii="Arial" w:cs="Arial" w:eastAsia="Arial" w:hAnsi="Arial"/>
                <w:sz w:val="14"/>
                <w:szCs w:val="14"/>
                <w:b w:val="1"/>
                <w:bCs w:val="1"/>
                <w:color w:val="auto"/>
                <w:w w:val="97"/>
              </w:rPr>
              <w:t>As of July 31, 2020</w:t>
            </w:r>
          </w:p>
        </w:tc>
        <w:tc>
          <w:tcPr>
            <w:tcW w:w="2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5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Weighted-average remaining lease term (years)</w:t>
            </w:r>
          </w:p>
        </w:tc>
        <w:tc>
          <w:tcPr>
            <w:tcW w:w="22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Weighted-average discount rate</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33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flow information is presented below:</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For the year ended July 31, 2020</w:t>
            </w:r>
          </w:p>
        </w:tc>
      </w:tr>
      <w:tr>
        <w:trPr>
          <w:trHeight w:val="182"/>
        </w:trPr>
        <w:tc>
          <w:tcPr>
            <w:tcW w:w="6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Cash paid for amounts included in the measurement of lease liabilities for operating</w:t>
            </w:r>
          </w:p>
        </w:tc>
        <w:tc>
          <w:tcPr>
            <w:tcW w:w="1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1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cash flows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41,636</w:t>
            </w:r>
          </w:p>
        </w:tc>
      </w:tr>
      <w:tr>
        <w:trPr>
          <w:trHeight w:val="216"/>
        </w:trPr>
        <w:tc>
          <w:tcPr>
            <w:tcW w:w="6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6"/>
              </w:rPr>
              <w:t>Cash paid for amounts included in the measurement of lease liabilities for financing</w:t>
            </w:r>
          </w:p>
        </w:tc>
        <w:tc>
          <w:tcPr>
            <w:tcW w:w="1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leases:</w:t>
            </w: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Financing cash flows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2,116</w:t>
            </w:r>
          </w:p>
        </w:tc>
      </w:tr>
    </w:tbl>
    <w:p>
      <w:pPr>
        <w:spacing w:after="0" w:line="187"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Prior to the adoption of ASC 842 – Leases, the following was disclosed in our Annual Report on Form 10-K for the fiscal year ended July 31, 2019. Ferrellgas’ contractual operating lease commitments and buyout obligations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13"/>
          </w:tcPr>
          <w:p>
            <w:pPr>
              <w:ind w:left="160"/>
              <w:spacing w:after="0"/>
              <w:rPr>
                <w:sz w:val="20"/>
                <w:szCs w:val="20"/>
                <w:color w:val="auto"/>
              </w:rPr>
            </w:pPr>
            <w:r>
              <w:rPr>
                <w:rFonts w:ascii="Arial" w:cs="Arial" w:eastAsia="Arial" w:hAnsi="Arial"/>
                <w:sz w:val="14"/>
                <w:szCs w:val="14"/>
                <w:b w:val="1"/>
                <w:bCs w:val="1"/>
                <w:color w:val="auto"/>
                <w:w w:val="95"/>
              </w:rPr>
              <w:t>Future minimum rental and buyout amounts by fiscal year</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Thereafter</w:t>
            </w: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17,414</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lease buyouts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4,371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6,421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3,527</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14,433</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Rental expense under these leases totaled $53.8 million and $50.7 million for fiscal 2019 and 2018, respectively.</w:t>
      </w:r>
    </w:p>
    <w:p>
      <w:pPr>
        <w:spacing w:after="0" w:line="248"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Prior to the adoption of ASC 842 – Leases, the following was disclosed in our Annual Report on Form 10-K for the fiscal year ended July 31, 2019. This cease use liability was reported under ASC 420 – Exit or disposal cost obligations previously and is now reported under ASC 842 – Leases. The prior year table is included below for comparative purposes:</w:t>
      </w:r>
    </w:p>
    <w:tbl>
      <w:tblPr>
        <w:tblLayout w:type="fixed"/>
        <w:tblInd w:w="40" w:type="dxa"/>
        <w:tblCellMar>
          <w:top w:w="0" w:type="dxa"/>
          <w:left w:w="0" w:type="dxa"/>
          <w:bottom w:w="0" w:type="dxa"/>
          <w:right w:w="0" w:type="dxa"/>
        </w:tblCellMar>
      </w:tblPr>
      <w:tr>
        <w:trPr>
          <w:trHeight w:val="142"/>
        </w:trPr>
        <w:tc>
          <w:tcPr>
            <w:tcW w:w="3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Contract exit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costs</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July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July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w:t>
            </w:r>
          </w:p>
        </w:tc>
        <w:tc>
          <w:tcPr>
            <w:tcW w:w="74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Acquisitions, dispositions and other significant transactions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Business combinations are accounted for under the acquisition method of accounting and the assets acquired and liabilities assumed are recorded at their estimated fair market values as of the acquisition dates. The results of operations are included in the consolidated statements of operations from the date of acquisition. The pro forma effect of these transactions was not material to Ferrellgas’ balance sheets or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Propane operations and related equipment sales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During fiscal 2020, Ferrellgas acquired propane distribution assets, primarily of independent distributors, with an aggregate value of $11.2 million in the following transactions:</w:t>
      </w:r>
    </w:p>
    <w:p>
      <w:pPr>
        <w:spacing w:after="0" w:line="170" w:lineRule="exact"/>
        <w:rPr>
          <w:sz w:val="20"/>
          <w:szCs w:val="20"/>
          <w:color w:val="auto"/>
        </w:rPr>
      </w:pPr>
    </w:p>
    <w:p>
      <w:pPr>
        <w:ind w:left="1020" w:hanging="322"/>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Golden State Propane, Inc., based in California, acquired in August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C.F. Van Duzer Gas Services, Inc., based in New York, acquired in October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Lee Propane of Pennington Gap, Inc., based in Virginia, acquired in June 2020;</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During fiscal 2019, Ferrellgas acquired propane distribution assets, primarily of independent distributors, with an aggregate value of $15.2 million in the following transactions:</w:t>
      </w:r>
    </w:p>
    <w:p>
      <w:pPr>
        <w:spacing w:after="0" w:line="170" w:lineRule="exact"/>
        <w:rPr>
          <w:sz w:val="20"/>
          <w:szCs w:val="20"/>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Salathe Gas Co., based in Louisiana, acquired September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North Star Exchange, Inc., based in Indiana, acquired October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Wylie LP Gas Inc., based in Texas, acquired October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Co-op Butane Inc., based in Louisiana, acquired in December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American Propane, based in Oklahoma, acquired January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Reliable Propane Inc., based in Missouri, acquired in February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AAA Propane, Inc., based in Colorado, acquired in June 2019.</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During fiscal 2018, Ferrellgas acquired propane distribution assets with an aggregate value of $20.6 million in the following transactions:</w:t>
      </w:r>
    </w:p>
    <w:p>
      <w:pPr>
        <w:spacing w:after="0" w:line="170" w:lineRule="exact"/>
        <w:rPr>
          <w:sz w:val="20"/>
          <w:szCs w:val="20"/>
          <w:color w:val="auto"/>
        </w:rPr>
      </w:pPr>
    </w:p>
    <w:p>
      <w:pPr>
        <w:ind w:left="1020" w:hanging="32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Lindsey Propane LLC, based in Tennessee, acquired August 2017;</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Sevier County Propane, based in Tennessee, acquired August 2017;</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Service Plus Propane, Inc., based in Virginia, acquired September 2017;</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Tapper Propane, Inc., based in Michigan, acquired November 2017; and</w:t>
      </w:r>
    </w:p>
    <w:p>
      <w:pPr>
        <w:spacing w:after="0" w:line="225" w:lineRule="exact"/>
        <w:rPr>
          <w:rFonts w:ascii="Arial" w:cs="Arial" w:eastAsia="Arial" w:hAnsi="Arial"/>
          <w:sz w:val="18"/>
          <w:szCs w:val="18"/>
          <w:color w:val="auto"/>
        </w:rPr>
      </w:pPr>
    </w:p>
    <w:p>
      <w:pPr>
        <w:ind w:left="700" w:right="3179" w:hanging="2"/>
        <w:spacing w:after="0" w:line="566" w:lineRule="auto"/>
        <w:tabs>
          <w:tab w:leader="none" w:pos="10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Diamond Propane LLC, based in New York, acquired June 2018. These acquisitions were funded as follows on their dates of acquisition: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 net of cash acquired</w:t>
            </w:r>
          </w:p>
        </w:tc>
        <w:tc>
          <w:tcPr>
            <w:tcW w:w="2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$ 10,195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$ 13,551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$ 18,141</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2"/>
              </w:rPr>
              <w:t>Issuance of liabilities and other costs and considerations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2,426</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fair value of transactions</w:t>
            </w:r>
          </w:p>
        </w:tc>
        <w:tc>
          <w:tcPr>
            <w:tcW w:w="23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$ 11,170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$ 15,201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$ 20,567</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gridSpan w:val="2"/>
          </w:tcPr>
          <w:p>
            <w:pPr>
              <w:jc w:val="right"/>
              <w:ind w:right="2479"/>
              <w:spacing w:after="0"/>
              <w:rPr>
                <w:sz w:val="20"/>
                <w:szCs w:val="20"/>
                <w:color w:val="auto"/>
              </w:rPr>
            </w:pPr>
            <w:r>
              <w:rPr>
                <w:rFonts w:ascii="Arial" w:cs="Arial" w:eastAsia="Arial" w:hAnsi="Arial"/>
                <w:sz w:val="18"/>
                <w:szCs w:val="18"/>
                <w:color w:val="auto"/>
              </w:rPr>
              <w:t>F-19</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firstLine="648"/>
        <w:spacing w:after="0" w:line="342" w:lineRule="auto"/>
        <w:rPr>
          <w:sz w:val="20"/>
          <w:szCs w:val="20"/>
          <w:color w:val="auto"/>
        </w:rPr>
      </w:pPr>
      <w:r>
        <w:rPr>
          <w:rFonts w:ascii="Arial" w:cs="Arial" w:eastAsia="Arial" w:hAnsi="Arial"/>
          <w:sz w:val="16"/>
          <w:szCs w:val="16"/>
          <w:color w:val="auto"/>
        </w:rPr>
        <w:t>The aggregate fair values, for the acquisitions in propane operations and related equipment sales reporting segment, were allocated as follows, including any adjustments identified during the measurement period:</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313"/>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6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Customer tanks, buildings, land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11,560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10,022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Customer lists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Aggregate fair value of net assets acquired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11,170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15,201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20,567</w:t>
            </w: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estimated fair values and useful lives of assets acquired during fiscal 2020 are based on a preliminary valuation and are subject to final valuation adjustments. Ferrellgas intends to continue its analysis of the net assets of these transactions to determine the final allocation of the total purchase price to the various assets and liabilities acquired. The estimated fair values and useful lives of assets acquired during fiscal 2019 and 2018 are based on internal valuations and included only minor adjustments during the 12 month period after the date of acquisition. Due to the immateriality of these adjustments, Ferrellgas did not retrospectively adjust the consolidated statements of operations for those measurement period adjustments.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Propane operations and related equipment sales</w:t>
      </w:r>
    </w:p>
    <w:p>
      <w:pPr>
        <w:spacing w:after="0" w:line="22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During July 2018, Ferrellgas completed the sale of a group of assets encompassing an immaterial reporting unit within our Propane operations segment for approximately $26.6 million in cash. For the year ended July 31, 2018, “Loss on asset sales and disposals” includes a loss of $15.2 million related to this sale. The assets sold consist primarily of working capital and equipment.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Midstream operations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During July 2018, Ferrellgas completed the sale of a subsidiary and a group of assets within the Midstream operations segment for approximately $57.0 million in cash. The subsidiary sold was Bridger Environmental LLC, which encompasses all saltwater disposal activities previously operated by Ferrellgas. The group of assets sold includes all assets, excluding working capital, associated with the crude oil trucking operations previously operated by Ferrellgas. Additionally, the sale included two crude oil injection terminals. In separate transactions, the remaining assets of the Bridger Terminal business were sold to various parties. The largest of these assets, the Swan Ranch Terminal, was sold for $8.0 million in cash. For the year ended July 31, 2018, “Loss on asset sales and disposals” includes a loss of $120.2 million related to these sales.</w:t>
      </w:r>
    </w:p>
    <w:p>
      <w:pPr>
        <w:spacing w:after="0" w:line="19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Additionally, during fiscal 2018, Ferrellgas sold all 1,292 rail cars utilized in the Midstream operations segment for approximately $51.3 million in cash. For the year ended July 31, 2018, “Loss on asset sales and disposals” includes a loss of $36.8 million related to the sale of these rail cars. Proceeds from the transaction were used to reduce outstanding debt on Ferrellgas’ previous senior secured credit facility. During fiscal 2018, Ferrellgas completed the sale of Bridger Energy, LLC, included in the Midstream operations segment, in exchange for an $8.5 million secured promissory note due in May 2020 which was fully paid on February 20, 2019. For the year ended July 31, 2018, “Loss on asset sales and disposals” includes a loss of $4.0 million related to this sale.</w:t>
      </w:r>
    </w:p>
    <w:p>
      <w:pPr>
        <w:spacing w:after="0" w:line="177"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The combined results from operations of these various Midstream dispositions in our Consolidated Statements of Operations includes losses before income taxes for the year ended July 31, 2018 of $55.4 million. The combined losses before income taxes attributable to Ferrellgas Partners, L.P. for the year ended July 31, 2018 was $54.8 million.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on asset sales and disposals” consists of:</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50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Propane-related accessories reporting unit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15,194</w:t>
            </w:r>
          </w:p>
        </w:tc>
      </w:tr>
      <w:tr>
        <w:trPr>
          <w:trHeight w:val="216"/>
        </w:trPr>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Midstream trucking, water disposal &amp; terminal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120,240</w:t>
            </w: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Midstream railcars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36,762</w:t>
            </w:r>
          </w:p>
        </w:tc>
      </w:tr>
      <w:tr>
        <w:trPr>
          <w:trHeight w:val="216"/>
        </w:trPr>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Bridger Energy</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r>
      <w:tr>
        <w:trPr>
          <w:trHeight w:val="216"/>
        </w:trPr>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asset sales and disposals</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187,399</w:t>
            </w:r>
          </w:p>
        </w:tc>
      </w:tr>
      <w:tr>
        <w:trPr>
          <w:trHeight w:val="20"/>
        </w:trPr>
        <w:tc>
          <w:tcPr>
            <w:tcW w:w="5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80" w:hanging="530"/>
        <w:spacing w:after="0"/>
        <w:tabs>
          <w:tab w:leader="none" w:pos="5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distribution of available cash</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To the extent it is not precluded from doing so by a debt covenant or other restriction, Ferrellgas Partners makes quarterly cash distributions of all of its “available cash.” Available cash is defined in the partnership agreement of Ferrellgas Partners as, generally, the sum of its consolidated cash receipts less consolidated cash disbursements and net changes in reserves established by the general partner for future requirements. Reserves are retained in order to provide for the proper conduct of Ferrellgas Partners’ business, or to provide funds for distributions with respect to any one or more of the next four fiscal quarters. Distributions are made within 45 days after the end of each fiscal quarter ending October, January, April and July to holders of record on the applicable record date. Currently, Ferrellgas Partners is not permitted, pursuant to the restricted payments covenant under its indenture, to make restricted payments, including distributions to common unitholders. See Note I – Debt for further discussion.</w:t>
      </w:r>
    </w:p>
    <w:p>
      <w:pPr>
        <w:spacing w:after="0" w:line="18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Any distributions by Ferrellgas Partners in an amount equal to 100% of its available cash, as defined in its partnership agreement, will be made to the common unitholders and the general partner. Additionally, the payment of incentive distributions to the holders of incentive distribution rights will be made to the extent that certain target levels of cash distributions are achieved.</w:t>
      </w:r>
    </w:p>
    <w:p>
      <w:pPr>
        <w:spacing w:after="0" w:line="183" w:lineRule="exact"/>
        <w:rPr>
          <w:sz w:val="20"/>
          <w:szCs w:val="20"/>
          <w:color w:val="auto"/>
        </w:rPr>
      </w:pPr>
    </w:p>
    <w:p>
      <w:pPr>
        <w:ind w:left="700" w:right="4939" w:hanging="650"/>
        <w:spacing w:after="0" w:line="569" w:lineRule="auto"/>
        <w:tabs>
          <w:tab w:leader="none" w:pos="55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financial statement information </w:t>
      </w:r>
      <w:r>
        <w:rPr>
          <w:rFonts w:ascii="Arial" w:cs="Arial" w:eastAsia="Arial" w:hAnsi="Arial"/>
          <w:sz w:val="16"/>
          <w:szCs w:val="16"/>
          <w:color w:val="auto"/>
        </w:rPr>
        <w:t>Inventories consist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July 31, 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July 31, 2019</w:t>
            </w: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Propane gas and related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66,001</w:t>
            </w: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Appliances, parts and supplies, and other</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14,453</w:t>
            </w:r>
          </w:p>
        </w:tc>
      </w:tr>
      <w:tr>
        <w:trPr>
          <w:trHeight w:val="209"/>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80,454</w:t>
            </w: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In addition to inventories on hand, Ferrellgas enters into contracts to take delivery of propane for supply procurement purposes with terms that generally do not exceed 36 months. Most of these contracts call for payment based on market prices at the date of delivery. As of July 31, 2020, Ferrellgas had committed, for supply procurement purposes, to take delivery of approximately 1.0 million gallons of propane at fixed prices.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net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lives</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2020</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Land improvements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Vehicles, including transport trailers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111,283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Bulk equipment and district facilities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Tanks, cylinders and customer equipment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779,827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111,838</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n/a</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r>
      <w:tr>
        <w:trPr>
          <w:trHeight w:val="210"/>
        </w:trPr>
        <w:tc>
          <w:tcPr>
            <w:tcW w:w="5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1,255,518</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658,795</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596,723</w:t>
            </w:r>
          </w:p>
        </w:tc>
      </w:tr>
      <w:tr>
        <w:trPr>
          <w:trHeight w:val="20"/>
        </w:trPr>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Depreciation expense totaled $64.5 million, $60.7 million and $67.1 million for fiscal 2020, 2019 and 2018, respectively.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July 31, 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July 31, 2019</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Broker margin deposit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640"/>
              <w:spacing w:after="0"/>
              <w:rPr>
                <w:sz w:val="20"/>
                <w:szCs w:val="20"/>
                <w:color w:val="auto"/>
              </w:rPr>
            </w:pPr>
            <w:r>
              <w:rPr>
                <w:rFonts w:ascii="Arial" w:cs="Arial" w:eastAsia="Arial" w:hAnsi="Arial"/>
                <w:sz w:val="18"/>
                <w:szCs w:val="18"/>
                <w:color w:val="auto"/>
              </w:rPr>
              <w:t>Other assets, net consist of the following:</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July 31, 2020</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July 31, 2019</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less current portion and allowance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52,889</w:t>
            </w: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Arial" w:cs="Arial" w:eastAsia="Arial" w:hAnsi="Arial"/>
                <w:sz w:val="18"/>
                <w:szCs w:val="18"/>
                <w:color w:val="auto"/>
              </w:rPr>
              <w:t>Other assets, net</w:t>
            </w:r>
          </w:p>
        </w:tc>
        <w:tc>
          <w:tcPr>
            <w:tcW w:w="1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640"/>
              <w:spacing w:after="0"/>
              <w:rPr>
                <w:sz w:val="20"/>
                <w:szCs w:val="20"/>
                <w:color w:val="auto"/>
              </w:rPr>
            </w:pPr>
            <w:r>
              <w:rPr>
                <w:rFonts w:ascii="Arial" w:cs="Arial" w:eastAsia="Arial" w:hAnsi="Arial"/>
                <w:sz w:val="18"/>
                <w:szCs w:val="18"/>
                <w:color w:val="auto"/>
              </w:rPr>
              <w:t>Other current liabilities consist of the following:</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July 31, 2020</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July 31, 2019</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Customer deposits and advances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Accrued insurance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Price risk management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42,989</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Shipping and handling expenses are classified in the following consolidated statements of operations line items: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5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 - personnel, vehicle, plant and other</w:t>
            </w:r>
          </w:p>
        </w:tc>
        <w:tc>
          <w:tcPr>
            <w:tcW w:w="1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$ 219,598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$ 215,780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$ 195,646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9,857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6,375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4,947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 equipment lease expense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25,765</w:t>
            </w:r>
          </w:p>
        </w:tc>
      </w:tr>
      <w:tr>
        <w:trPr>
          <w:trHeight w:val="209"/>
        </w:trPr>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$ 261,973</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$ 252,914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$ 226,358</w:t>
            </w:r>
          </w:p>
        </w:tc>
      </w:tr>
      <w:tr>
        <w:trPr>
          <w:trHeight w:val="20"/>
        </w:trPr>
        <w:tc>
          <w:tcPr>
            <w:tcW w:w="5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cash equivalents consist of the following: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14"/>
                <w:szCs w:val="14"/>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July 31, 2019</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w:t>
            </w: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333,761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w:t>
            </w: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right="299" w:hanging="326"/>
        <w:spacing w:after="0" w:line="275" w:lineRule="auto"/>
        <w:tabs>
          <w:tab w:leader="none" w:pos="7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$95.8 million of restricted cash includes $78.2 million of pledged cash collateral for letters of credit outstanding, an $11.5 million cash deposit made with the administrative agent under the terminated Senior Secured Credit Facility, which may be used by the administrative agent to pay contingent obligations arising under the Financing Agreement that governed the Senior Secured Credit Facility, and $6.1 million of additional pledged collateral. For additional discussion see Note I – Debt.</w:t>
      </w:r>
    </w:p>
    <w:p>
      <w:pPr>
        <w:spacing w:after="0" w:line="176"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For purposes of the consolidated statements of cash flows, Ferrellgas considers cash equivalents to include all highly liquid debt instruments purchased with an original maturity of three months or less. Certain cash flow and significant non-cash activities are presented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For the year ended July 31,</w:t>
            </w:r>
          </w:p>
        </w:tc>
        <w:tc>
          <w:tcPr>
            <w:tcW w:w="680" w:type="dxa"/>
            <w:vAlign w:val="bottom"/>
            <w:tcBorders>
              <w:bottom w:val="single" w:sz="8" w:color="auto"/>
            </w:tcBorders>
          </w:tcPr>
          <w:p>
            <w:pPr>
              <w:spacing w:after="0"/>
              <w:rPr>
                <w:sz w:val="14"/>
                <w:szCs w:val="14"/>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for: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147,402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166,897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159,271</w:t>
            </w: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Liability incurred in connection with Term Loan amendment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Liabilities incurred in connection with acquisitions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accruals for property, plant and equipment additions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Lease liabilities arising from operating right-of-use assets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14,938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finance right-of-use assets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700" w:right="2839" w:hanging="650"/>
        <w:spacing w:after="0" w:line="569" w:lineRule="auto"/>
        <w:tabs>
          <w:tab w:leader="none" w:pos="587"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and notes receivable, net and accounts receivable securitization </w:t>
      </w:r>
      <w:r>
        <w:rPr>
          <w:rFonts w:ascii="Arial" w:cs="Arial" w:eastAsia="Arial" w:hAnsi="Arial"/>
          <w:sz w:val="16"/>
          <w:szCs w:val="16"/>
          <w:color w:val="auto"/>
        </w:rPr>
        <w:t>Accounts and notes receivable, net consist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July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July 31, 2019</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pledged as collateral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103,703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Accounts receivable not pledged as collateral (including other reserves)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09"/>
        </w:trPr>
        <w:tc>
          <w:tcPr>
            <w:tcW w:w="6680" w:type="dxa"/>
            <w:vAlign w:val="bottom"/>
          </w:tcPr>
          <w:p>
            <w:pPr>
              <w:ind w:left="100"/>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101,438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107,596</w:t>
            </w: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At July 31, 2020, $103.7 million of trade accounts receivable were pledged as collateral, but Ferrellgas had no outstanding collateralized notes payable due to a commercial paper conduit. At July 31, 2019, $106.1 million of trade accounts receivable were pledged as collateral against $62.0 million of collateralized notes payable due to the commercial paper conduit. These accounts receivable pledged as collateral are bankruptcy remote from the operating partnership. The operating partnership does not provide any guarantee or similar support to the collectability of these accounts receivable pledged as collateral.</w:t>
      </w:r>
    </w:p>
    <w:p>
      <w:pPr>
        <w:spacing w:after="0" w:line="192"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As of July 31, 2020, Ferrellgas had received no cash proceeds from trade accounts receivables securitized, with $11.0 million remaining capacity to receive additional proceeds or issue letters of credit. As of July 31, 2019, Ferrellgas had received cash proceeds of $62.0 million from trade accounts receivables securitized, with no remaining capacity to receive additional proceeds. Borrowings under the accounts receivable securitization facility had a weighted average interest rate of 5.5% as of July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As discussed previously, on June 25, 2018, Ferrellgas and Mr. Ballengee entered into an Omnibus Agreement (the “Omnibus Agreement”) that, among other things, included an executed unsecured promissory note in favor of the operating partnership with an original principal amount of $18.3 million (the “Revised Jamex Promissory Note”). On July 1, 2020, Mr. Ballengee defaulted on the Revised Jamex Promissory Note by failing to make the first payment in the amount of $2.5 million. As a result, as of July 31, 2020, Ferrellgas recorded a bad debt reserve against $17.3 million of the Revised Jamex Promissory Note and is pursuing collections from Mr. Ballengee. As of July 31, 2020, $12.5 million was classified as current notes receivable, all of which is reserved.</w:t>
      </w:r>
    </w:p>
    <w:p>
      <w:pPr>
        <w:spacing w:after="0" w:line="177" w:lineRule="exact"/>
        <w:rPr>
          <w:sz w:val="20"/>
          <w:szCs w:val="20"/>
          <w:color w:val="auto"/>
        </w:rPr>
      </w:pPr>
    </w:p>
    <w:p>
      <w:pPr>
        <w:ind w:left="60" w:right="119" w:firstLine="648"/>
        <w:spacing w:after="0" w:line="283" w:lineRule="auto"/>
        <w:rPr>
          <w:sz w:val="20"/>
          <w:szCs w:val="20"/>
          <w:color w:val="auto"/>
        </w:rPr>
      </w:pPr>
      <w:r>
        <w:rPr>
          <w:rFonts w:ascii="Arial" w:cs="Arial" w:eastAsia="Arial" w:hAnsi="Arial"/>
          <w:sz w:val="16"/>
          <w:szCs w:val="16"/>
          <w:color w:val="auto"/>
        </w:rPr>
        <w:t>The agreement governing the accounts receivable securitization facility (the “Purchase Agreement”) requires the operating partnership to maintain a fixed charge coverage ratio of not less than 1.00x and a senior secured leverage ratio of not greater than 3.00x. The operating partnership was in compliance with these financial ratio requirements as of July 31, 2020. However, if at any time the operating partnership is not in compliance with these financial ratio requirements, Ferrellgas will be unable to access the facility for working capital or other cash requirements and the facility may be terminated. On April 10, 2020, the operating partnership entered into a ninth amendment to the Purchase Agreement, which amended and restated the amortization event related to the senior secured leverage ratio of the operating partnership and the definition of “Consolidated Total Secured Debt” in the Purchase Agreement to, among other matters, provide that obligations with respect to cash collateralized letters of credit are excluded from Consolidated Total Secured Debt and, therefore, from the calculation of the senior secured leverage ratio, beginning with the fiscal quarter ended January 31, 2020. The ninth amendment also amended the Purchase Agreement to (i) increase the interest rate applicable margin by</w:t>
      </w:r>
    </w:p>
    <w:p>
      <w:pPr>
        <w:spacing w:after="0" w:line="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0.5% to 2.5% (or 4.5% while an amortization event under the Purchase Agreement exists) and (ii) increase the interest rate floors for the alternate base rate and LIBOR from 0.0% to 1.0%. This facility matures in May 2021 and includes an option, at Ferrellgas’ request and consent, for the purchasers in their sole discretion to extend the facility for up to an additional three years.</w:t>
      </w:r>
    </w:p>
    <w:p>
      <w:pPr>
        <w:spacing w:after="0" w:line="189" w:lineRule="exact"/>
        <w:rPr>
          <w:sz w:val="20"/>
          <w:szCs w:val="20"/>
          <w:color w:val="auto"/>
        </w:rPr>
      </w:pPr>
    </w:p>
    <w:p>
      <w:pPr>
        <w:ind w:left="600" w:hanging="550"/>
        <w:spacing w:after="0"/>
        <w:tabs>
          <w:tab w:leader="none" w:pos="6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intangible assets, net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9"/>
              </w:rPr>
              <w:t>July 31,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9"/>
              </w:rPr>
              <w:t>July 31, 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4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14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247,195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(397,843)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442,652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(390,052)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476,318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(423,290)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(414,210)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Unamortized intangible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names &amp; trademarks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527,339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(423,290)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104,049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522,767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(414,210)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right="50"/>
              <w:spacing w:after="0"/>
              <w:rPr>
                <w:sz w:val="20"/>
                <w:szCs w:val="20"/>
                <w:color w:val="auto"/>
              </w:rPr>
            </w:pPr>
            <w:r>
              <w:rPr>
                <w:rFonts w:ascii="Arial" w:cs="Arial" w:eastAsia="Arial" w:hAnsi="Arial"/>
                <w:sz w:val="18"/>
                <w:szCs w:val="18"/>
                <w:color w:val="auto"/>
                <w:w w:val="91"/>
              </w:rPr>
              <w:t>F-24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1"/>
              </w:rPr>
              <w:t>Propane operations and</w:t>
            </w: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related equipment sales</w:t>
            </w: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July 31, 2018</w:t>
            </w:r>
          </w:p>
        </w:tc>
        <w:tc>
          <w:tcPr>
            <w:tcW w:w="1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246,098</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Acquisitions</w:t>
            </w: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Balance July 31, 2019</w:t>
            </w: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247,195</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31, 2020</w:t>
            </w:r>
          </w:p>
        </w:tc>
        <w:tc>
          <w:tcPr>
            <w:tcW w:w="1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247,195</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Customer related intangible assets have estimated lives of 15 years and non-compete agreements and other intangible assets have estimated lives ranging from five to 10 years. Ferrellgas intends to utilize all acquired trademarks and trade names and does not believe there are any legal, regulatory, contractual, competitive, economical or other factors that would limit their useful lives. Therefore, trademarks and trade names have indefinite useful lives. Customer related intangibles carry a weighted average life of 15 years, and non-compete agreements and other intangibles carry a weighted average life of ten years.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6000" w:type="dxa"/>
            <w:vAlign w:val="bottom"/>
            <w:gridSpan w:val="2"/>
          </w:tcPr>
          <w:p>
            <w:pPr>
              <w:ind w:left="360"/>
              <w:spacing w:after="0"/>
              <w:rPr>
                <w:sz w:val="20"/>
                <w:szCs w:val="20"/>
                <w:color w:val="auto"/>
              </w:rPr>
            </w:pPr>
            <w:r>
              <w:rPr>
                <w:rFonts w:ascii="Arial" w:cs="Arial" w:eastAsia="Arial" w:hAnsi="Arial"/>
                <w:sz w:val="18"/>
                <w:szCs w:val="18"/>
                <w:color w:val="auto"/>
              </w:rPr>
              <w:t>Aggregate amortization expense related to intangible assets, net:</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20" w:type="dxa"/>
            <w:vAlign w:val="bottom"/>
            <w:vMerge w:val="restart"/>
          </w:tcPr>
          <w:p>
            <w:pPr>
              <w:spacing w:after="0"/>
              <w:rPr>
                <w:sz w:val="19"/>
                <w:szCs w:val="19"/>
                <w:color w:val="auto"/>
              </w:rPr>
            </w:pPr>
          </w:p>
        </w:tc>
        <w:tc>
          <w:tcPr>
            <w:tcW w:w="5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July 31,</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9,079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14,581</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2018</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31,345</w:t>
            </w: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6000" w:type="dxa"/>
            <w:vAlign w:val="bottom"/>
            <w:gridSpan w:val="2"/>
          </w:tcPr>
          <w:p>
            <w:pPr>
              <w:ind w:left="360"/>
              <w:spacing w:after="0"/>
              <w:rPr>
                <w:sz w:val="20"/>
                <w:szCs w:val="20"/>
                <w:color w:val="auto"/>
              </w:rPr>
            </w:pPr>
            <w:r>
              <w:rPr>
                <w:rFonts w:ascii="Arial" w:cs="Arial" w:eastAsia="Arial" w:hAnsi="Arial"/>
                <w:sz w:val="18"/>
                <w:szCs w:val="18"/>
                <w:color w:val="auto"/>
              </w:rPr>
              <w:t>Estimated amortization expense:</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620" w:type="dxa"/>
            <w:vAlign w:val="bottom"/>
            <w:vMerge w:val="restart"/>
          </w:tcPr>
          <w:p>
            <w:pPr>
              <w:spacing w:after="0"/>
              <w:rPr>
                <w:sz w:val="19"/>
                <w:szCs w:val="19"/>
                <w:color w:val="auto"/>
              </w:rPr>
            </w:pPr>
          </w:p>
        </w:tc>
        <w:tc>
          <w:tcPr>
            <w:tcW w:w="5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July 31,</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2025</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0"/>
                <w:szCs w:val="20"/>
                <w:color w:val="auto"/>
              </w:rPr>
            </w:pPr>
            <w:r>
              <w:rPr>
                <w:rFonts w:ascii="Arial" w:cs="Arial" w:eastAsia="Arial" w:hAnsi="Arial"/>
                <w:sz w:val="18"/>
                <w:szCs w:val="18"/>
                <w:b w:val="1"/>
                <w:bCs w:val="1"/>
                <w:color w:val="auto"/>
              </w:rPr>
              <w:t>I.</w:t>
            </w:r>
          </w:p>
        </w:tc>
        <w:tc>
          <w:tcPr>
            <w:tcW w:w="60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Debt</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Prior to April 30, 2020, Ferrellgas classified borrowings on the Revolving Facility portion of its Senior Secured Credit Facility (each, as defined below) as short-term, because they were primarily used to fund working capital needs that management intended to pay down within the twelve month period following the balance sheet date. During the quarter ended April 30, 2020, Ferrellgas repaid all of the outstanding borrowings under its Senior Secured Credit Facility and terminated that facility, as discussed below. Accordingly, as of July 31, 2020, no amounts were classified as short-term borrowings. As of July 31, 2019, $43.0 million was classified as short-term borrowings. For further discussion see the “Senior secured notes due 2025 and senior secured credit facility” section below.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Unsecured senior notes</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31, 2020</w:t>
            </w: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July 31, 2019</w:t>
            </w:r>
          </w:p>
        </w:tc>
        <w:tc>
          <w:tcPr>
            <w:tcW w:w="0" w:type="dxa"/>
            <w:vAlign w:val="bottom"/>
          </w:tcPr>
          <w:p>
            <w:pPr>
              <w:spacing w:after="0"/>
              <w:rPr>
                <w:sz w:val="1"/>
                <w:szCs w:val="1"/>
                <w:color w:val="auto"/>
              </w:rPr>
            </w:pPr>
          </w:p>
        </w:tc>
      </w:tr>
      <w:tr>
        <w:trPr>
          <w:trHeight w:val="203"/>
        </w:trPr>
        <w:tc>
          <w:tcPr>
            <w:tcW w:w="6820" w:type="dxa"/>
            <w:vAlign w:val="bottom"/>
            <w:gridSpan w:val="2"/>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6.50%, due 2021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Fixed rate, 6.75%, due 2023 (2)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Fixed rate, 6.75%, due 2022, net of unamortized premium of $937 and $1,633 at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2020 and 2019, respectively (3)</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475,937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Fixed rate, 8.625%, due 2020, net of unamortized discount of $0 and $1,319 at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July 31, 2020 and 2019, respectively (4)</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357,000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Secured senior notes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Fixed rate, 10.00%, due 2025, net of unamortized premium of $3,573 at July 31, 2020 (5)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term loan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Variable interest rate, Term Loan (6)</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9.4% and 10.7% weighted average interest rate at July 31, 2020 and 2019, respectively, due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2020 to 2029, net of unamortized discount of $537 and $711 at July 31, 2020 and 2019,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Total debt, excluding unamortized debt issuance and other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2,541,074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2,113,276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issuance and other costs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(35,583)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1,646,396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1,457,004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54"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November 2010, the operating partnership issued $500.0 million aggregate principal amount of 6.50% senior notes due 2021. These notes are general unsecured senior obligations of the operating partnership and are (i) effectively junior to all existing and future senior secured indebtedness of the operating partnership, to the extent of the value of the assets securing such debt and (ii) structurally subordinated to all existing and future indebtedness and obligations of the operating partnership’s subsidiaries. The senior notes bear interest from the date of issuance, payable semi-annually in arrears on May 1 and November 1 of each year. The outstanding principal amount is due on May 1, 2021.</w:t>
      </w:r>
    </w:p>
    <w:p>
      <w:pPr>
        <w:spacing w:after="0" w:line="194" w:lineRule="exact"/>
        <w:rPr>
          <w:rFonts w:ascii="Arial" w:cs="Arial" w:eastAsia="Arial" w:hAnsi="Arial"/>
          <w:sz w:val="18"/>
          <w:szCs w:val="18"/>
          <w:color w:val="auto"/>
        </w:rPr>
      </w:pPr>
    </w:p>
    <w:p>
      <w:pPr>
        <w:ind w:left="380" w:right="119" w:hanging="330"/>
        <w:spacing w:after="0" w:line="271" w:lineRule="auto"/>
        <w:tabs>
          <w:tab w:leader="none" w:pos="3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During June 2015, the operating partnership issued $500.0 million aggregate principal amount of 6.75% senior notes due 2023. These notes are general unsecured senior obligations of the operating partnership and are (i) effectively junior to all existing and future senior secured indebtedness of the operating partnership, to the extent of the value of the assets securing such debt, and (ii) structurally subordinated to all existing and future indebtedness and obligations of any subsidiary of the operating partnership that is not a guarantor of these notes. The senior notes bear interest from the date of issuance, payable semi-annually in arrears on June 15 and December 15 of each year. The outstanding principal amount is due June 15, 2023. The operating partnership would incur prepayment penalties if it were to repay the notes prior to June 2021.</w:t>
      </w:r>
    </w:p>
    <w:p>
      <w:pPr>
        <w:spacing w:after="0" w:line="178" w:lineRule="exact"/>
        <w:rPr>
          <w:rFonts w:ascii="Arial" w:cs="Arial" w:eastAsia="Arial" w:hAnsi="Arial"/>
          <w:sz w:val="17"/>
          <w:szCs w:val="17"/>
          <w:color w:val="auto"/>
        </w:rPr>
      </w:pPr>
    </w:p>
    <w:p>
      <w:pPr>
        <w:ind w:left="380" w:right="99" w:hanging="330"/>
        <w:spacing w:after="0" w:line="291" w:lineRule="auto"/>
        <w:tabs>
          <w:tab w:leader="none" w:pos="3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During fiscal 2014, the operating partnership issued $475.0 million aggregate principal amount of 6.75% senior notes due 2022, $325.0 million of which was issued at par and $150.0 million of which was issued at 104% of par. These notes are general unsecured senior obligations of the operating partnership and are (i) effectively junior to all existing and future senior secured indebtedness of the operating partnership, to the extent of the value of the assets securing such debt, and (ii) structurally subordinated to all existing and future indebtedness and obligations of the operating partnership’s subsidiaries. The senior notes bear interest from the date of issuance, payable semi-annually in arrears on January 15 and July 15 of each year. The outstanding principal amount is due January 15, 2022.</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99" w:hanging="330"/>
        <w:spacing w:after="0" w:line="269" w:lineRule="auto"/>
        <w:tabs>
          <w:tab w:leader="none" w:pos="3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During January 2017, Ferrellgas Partners issued $175.0 million aggregate principal amount of additional 8.625% unsecured senior notes due 2020, issued at 96% of par. Ferrellgas Partners contributed the net proceeds from the offering of approximately $166.1 million to the operating partnership, which used such amounts to repay borrowings under its previous senior secured credit facility. During April 2010, Ferrellgas Partners issued $280.0 million of these notes. During March 2011, Ferrellgas Partners redeemed $98.0 million of these notes. These notes are general unsecured senior obligations of Ferrellgas Partners and are (i) effectively junior to all existing and future senior secured indebtedness of Ferrellgas Partners, to the extent of the value of the assets securing such debt, and (ii) structurally subordinated to all existing and future indebtedness and obligations of the operating partnership and its subsidiaries. The unsecured senior notes bear interest from the date of issuance, payable semi-annually in arrears on June 15 and December 15 of each year. The outstanding principal amount was due on June 15, 2020 but has not been repaid.</w:t>
      </w:r>
    </w:p>
    <w:p>
      <w:pPr>
        <w:spacing w:after="0" w:line="181" w:lineRule="exact"/>
        <w:rPr>
          <w:rFonts w:ascii="Arial" w:cs="Arial" w:eastAsia="Arial" w:hAnsi="Arial"/>
          <w:sz w:val="17"/>
          <w:szCs w:val="17"/>
          <w:color w:val="auto"/>
        </w:rPr>
      </w:pPr>
    </w:p>
    <w:p>
      <w:pPr>
        <w:ind w:left="380" w:right="99" w:hanging="330"/>
        <w:spacing w:after="0" w:line="288" w:lineRule="auto"/>
        <w:tabs>
          <w:tab w:leader="none" w:pos="3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During April 2020, the operating partnership issued $700.0 million aggregate principal amount of 10.00% senior secured first lien notes due 2025, $575.0 million of which was issued at par and $125.0 million of which was issued at 103% of par. These notes are senior secured obligations of the operating partnership and the guarantors of such notes, including Ferrellgas Partners, the general partners of the operating partnership and certain subsidiaries of the operating partnership, and are (i) effectively senior to all existing senior unsecured indebtedness of the operating partnership and the guarantors, to the extent of the value of the assets securing such debt, and (ii) structurally subordinated to all existing and future indebtedness and obligations of Ferrellgas Receivables, LLC, a special purpose subsidiary that does not guarantee the notes. The senior notes bear interest from the date of issuance, payable semiannually in arrears on April 15 and October 15 of each year. The operating partnership would incur prepayment penalties if it were to repay the notes prior to April 15, 2024. The outstanding principal amount is due on April 15, 2025.</w:t>
      </w:r>
    </w:p>
    <w:p>
      <w:pPr>
        <w:spacing w:after="0" w:line="168" w:lineRule="exact"/>
        <w:rPr>
          <w:rFonts w:ascii="Arial" w:cs="Arial" w:eastAsia="Arial" w:hAnsi="Arial"/>
          <w:sz w:val="16"/>
          <w:szCs w:val="16"/>
          <w:color w:val="auto"/>
        </w:rPr>
      </w:pPr>
    </w:p>
    <w:p>
      <w:pPr>
        <w:ind w:left="380" w:right="79" w:hanging="330"/>
        <w:spacing w:after="0" w:line="271" w:lineRule="auto"/>
        <w:tabs>
          <w:tab w:leader="none" w:pos="3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During April 2020, the operating partnership used a portion of the net proceeds from the offering of its senior secured first lien notes due 2025 to (i) repay all $283.9 million of outstanding borrowings under its Senior Secured Credit Facility, together with $3.1 million of accrued interest and a $17.5 million prepayment premium, (ii) cash collateralize all of the letters of credit outstanding under its Senior Secured Credit Facility and (iii) make a cash deposit of $11.5 million with the administrative agent under its Senior Secured Credit Facility, after which the facility was terminated. This repayment also resulted in $19.9 million of non-cash write-offs of capitalized debt costs. The prepayment premium payments and the non-cash write-offs of capitalized debt costs are classified as loss on extinguishment of debt on the consolidated statement of operations.</w:t>
      </w:r>
    </w:p>
    <w:p>
      <w:pPr>
        <w:spacing w:after="0" w:line="3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scheduled annual principal payments on long-term debt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due by fiscal year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Scheduled</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principal payments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(a)</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Includes the Ferrellgas Partners Notes, which matured on June 15, 2020 but have not yet been repaid.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 due 2025 and senior secured credit facility</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On April 16, 2020, the operating partnership issued $700.0 million aggregate principal amount of 10.00% senior secured first lien notes due 2025. Ferrellgas utilized a portion of the net proceeds of that offering to repay all $283.9 million of the outstanding borrowings under its Senior Secured Credit Facility, together with $3.1 million of accrued interest and a $17.5 million prepayment premium and terminated that facility. Additionally, Ferrellgas used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portion of the net proceeds from that offering to cash collateralize all of the letters of credit outstanding under the Senior Secured Credit Facility and to make a cash deposit of $11.5 million with the administrative agent under the Senior Secured Credit Facility, which may be used by the administrative agent to pay contingent obligations arising under the Financing Agreement that governed the Senior Secured Credit Facility. To the extent the cash deposit is not used to pay any such contingent obligations, it will be returned to the operating partnership in certain circumstances. The operating partnership intends to use the remaining net proceeds for general corporate purposes.</w:t>
      </w:r>
    </w:p>
    <w:p>
      <w:pPr>
        <w:spacing w:after="0" w:line="178"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As of July 31, 2020, the operating partnership had previously terminated its Senior Secured Credit Facility in connection with the issuance of the senior secured first lien notes due 2025. The operating partnership has not entered into a new credit facility as of July 31, 2020. As of July 31, 2019, the operating partnership had outstanding borrowings under its Senior Secured Credit Facility of $275.0 million under the term loan (the “Term Loan”) at an interest rate of 8.16%, which was then classified as current, and $43.0 million under the revolving line of credit (the “Revolving Facility”) at an interest rate of 9.47%, which was classified as short-term borrowings. As of July 31, 2019, the operating partnership had available borrowing capacity under the Revolving Facility of $155.1 million.</w:t>
      </w:r>
    </w:p>
    <w:p>
      <w:pPr>
        <w:spacing w:after="0" w:line="17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Letters of credit outstanding at July 31, 2020 and 2019 totaled $126.0 million and $101.9 million, respectively, and were used to secure insurance arrangements, product purchases and commodity hedges. At July 31, 2020, due to the termination of the Senior Secured Credit Facility, Ferrellgas did not have in place a credit facility providing for the issuance of letters of credit and had $78.2 million of restricted cash pledged as cash collateral for letters of credit outstanding. During the quarter ended July 31, 2020, Ferrellgas also issued letters of credit of $50.0 million by utilizing our liquidity available on the accounts receivable securitization facility. At July 31, 2019, Ferrellgas had remaining available letter of credit capacity under the Senior Secured Credit Facility of $23.1 million. Ferrellgas incurred commitment fees of $0.5 million, $1.0 million and $0.7 million in fiscal 2020, 2019 and 2018,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Forbearance Agreement with respect to Ferrellgas Partners’ 8.625% Unsecured Senior Notes due June 15, 2020</w:t>
      </w:r>
    </w:p>
    <w:p>
      <w:pPr>
        <w:spacing w:after="0" w:line="237"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On June 7, 2020, Ferrellgas Partners and additional Ferrellgas entities entered into a Forbearance Agreement (the “Forbearance Agreement”) with the beneficial owners (or nominees, investment managers, advisors or subadvisors for the beneficial owners, collectively referred to as the “Forbearing Noteholders”) of approximately 77% of the aggregate principal amount of Ferrellgas Partners’ 8.625% unsecured senior notes due June 15, 2020, pursuant to which the Forbearing Noteholders agreed to forbear from exercising any default-related rights and remedies with respect to the Ferrellgas Partners Notes and to direct the trustee thereunder not to take any remedial action. The forbearance period under the Forbearance Agreement expired on August 15, 2020. Following the expiration of the forbearance period, discussions with representatives of the Forbearing Noteholders have continued.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The indenture governing the outstanding notes of Ferrellgas Partners and the agreements governing the operating partnership’s indebtedness contain various covenants that limit Ferrellgas Partners’ ability and the ability of specified subsidiaries to, among other things, make restricted payments and incur additional indebtedness. The general partner believes that the most restrictive of these covenants are the restricted payments covenants in the indenture governing the outstanding notes of Ferrellgas Partners and the indentures governing the outstanding notes of the operating partnership, which are discussed below.</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Ferrellgas Partners, L.P., the master limited partnership</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The indenture governing the outstanding notes of Ferrellgas Partners due June 15, 2020 contains a covenant that restricts the ability of Ferrellgas Partners to make certain restricted payments, including distributions on its common units. Ferrellgas Partners continues to comply with the restrictive covenants with respect to the $357.0 million aggregate principal amount of its unsecured senior notes due June 15, 2020 as it continues to negotiate with the Forbearing Noteholders.</w:t>
      </w:r>
    </w:p>
    <w:p>
      <w:pPr>
        <w:spacing w:after="0" w:line="188"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Under this covenant, subject to the limited exception described below, Ferrellgas Partners may not make a restricted payment unless its consolidated fixed charge coverage ratio (defined in the indenture generally to mean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ratio of trailing four quarters consolidated EBITDA to consolidated interest expense, both as adjusted for certain, specified items) is at least 1.75x, on a pro forma basis giving effect to the restricted payment and, if applicable, certain other specified events. As of July 31, 2020, Ferrellgas Partners’ consolidated fixed charge coverage ratio was 1.40x.</w:t>
      </w:r>
    </w:p>
    <w:p>
      <w:pPr>
        <w:spacing w:after="0" w:line="14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If the consolidated fixed charge coverage ratio is below 1.75x, Ferrellgas Partners may make restricted payments of up to $50.0 million in total over a sixteen quarter period. As a result of distributions paid to common unitholders in September 2017, December 2017, March 2018, June 2018 and September 2018, while this ratio was less than 1.75x, Ferrellgas Partners has used substantially all of its capacity under the limited exception and therefore is currently restricted by this covenant from making future restricted payments, including distributions to common unitholders. Accordingly, no distributions have been or will be paid to common unitholders for the three months ended July 31, 2020, and the general partner expects that this covenant will continue to prohibit Ferrellgas Partners from making common unit distributions unless and until the outstanding notes of Ferrellgas Partners due 2020 are restructured, refinanced or otherwise satisfied. While there can be no assurance of success, as part of our debt and interest expense reduction strategy, we are presently considering potential solutions to address the upcoming maturity of the outstanding notes of Ferrellgas Partners due 2020. The potential solutions include, among others, restructuring, refinancing or a transaction to exchange new notes for some or all of these notes.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Ferrellgas, L.P., the operating partnership</w:t>
      </w:r>
    </w:p>
    <w:p>
      <w:pPr>
        <w:spacing w:after="0" w:line="225"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in the indentures governing the operating partnership’s notes, subject to the limited exceptions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July 31, 2020, the operating partnership’s consolidated fixed charge coverage ratio was 1.70x.</w:t>
      </w:r>
    </w:p>
    <w:p>
      <w:pPr>
        <w:spacing w:after="0" w:line="18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Under the covenants in the indentures governing the operating partnership’s unsecured notes, if the consolidated fixed charge coverage ratio is below 1.75x, the operating partnership may still make restricted payments in limited amounts determined under the indentures governing the operating partnership’s unsecured notes. The distributions made by the operating partnership on June 15, 2019 and December 15, 2019 for payment of interest on Ferrellgas Partners’ unsecured senior notes due June 2020 were made from capacity under this limited exception to the ratio requirement under the indentures governing the operating partnership’s unsecured notes.</w:t>
      </w:r>
    </w:p>
    <w:p>
      <w:pPr>
        <w:spacing w:after="0" w:line="178"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indenture governing the operating partnership’s senior secured first lien notes due 2025 contains a similar but, in some respects, a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the operating partnership generally may not make a restricted payment unless the operating partnership’s consolidated leverage ratio (defined in the secured notes indenture generally to mean the ratio of 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the operating partnership’s consolidated fixed coverage ratio is at least 1.75x or below 1.75x. As of July 31, 2020, the operating partnership’s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the operating partnership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the operating partnership’s unsecured notes indentures.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As described above, Ferrellgas Partners’ unsecured notes due 2020 matured on June 15, 2020, and the outstanding principal amount of those notes was due to be paid on that date, together with accrued interest to the maturity date. Although the operating partnership has some capacity to make distributions under the operating partnership’s unsecured and secured notes indentures, this capacity will not allow the operating partnership to make distributions to Ferrellgas Partners sufficient to pay the principal of and accrued interest on Ferrellgas Partners’ unsecured senior notes due 2020 that was due at the maturity of those notes. Additionally, the restrictions in these indentures currently limit the ability of the operating partnership to make distributions to Ferrellgas Partners to enable it to pay cash distributions to its unitholders.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and interest expense reduction strategy</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Ferrellgas continues to pursue a strategy to reduce its debt and interest expense. Opportunities include the generation of additional cash flows through accretive acquisitions, continued restructuring or refinancing of existing indebtedness, selling additional assets, maintaining the suspension of Ferrellgas’ common unit distributions, issuing equity or executing one or more debt exchanges. Ferrellgas expects to maintain its debt and interest expense reduction strategy until its consolidated leverage ratio reaches a level that it deems appropriate for its business. During fiscal 2019, Ferrellgas engaged Moelis &amp; Company LLC as its financial advisor and the law firm of Squire Patton Boggs LLP to assist in its ongoing process to reduce existing debt and address its debt maturities.</w:t>
      </w:r>
    </w:p>
    <w:p>
      <w:pPr>
        <w:spacing w:after="0" w:line="173" w:lineRule="exact"/>
        <w:rPr>
          <w:sz w:val="20"/>
          <w:szCs w:val="20"/>
          <w:color w:val="auto"/>
        </w:rPr>
      </w:pPr>
    </w:p>
    <w:p>
      <w:pPr>
        <w:ind w:left="540" w:hanging="490"/>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Partners’ deficit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July 31, 2020 and 2019, limited partner units were beneficially owned by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2020</w:t>
            </w:r>
          </w:p>
        </w:tc>
        <w:tc>
          <w:tcPr>
            <w:tcW w:w="980" w:type="dxa"/>
            <w:vAlign w:val="bottom"/>
          </w:tcPr>
          <w:p>
            <w:pPr>
              <w:jc w:val="right"/>
              <w:ind w:right="13"/>
              <w:spacing w:after="0"/>
              <w:rPr>
                <w:sz w:val="20"/>
                <w:szCs w:val="20"/>
                <w:color w:val="auto"/>
              </w:rPr>
            </w:pPr>
            <w:r>
              <w:rPr>
                <w:rFonts w:ascii="Arial" w:cs="Arial" w:eastAsia="Arial" w:hAnsi="Arial"/>
                <w:sz w:val="14"/>
                <w:szCs w:val="14"/>
                <w:b w:val="1"/>
                <w:bCs w:val="1"/>
                <w:color w:val="auto"/>
                <w:w w:val="99"/>
              </w:rPr>
              <w:t>July 31, 2019</w:t>
            </w: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common unitholders (1)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69,612,939</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69,612,939</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Ferrell Companies (2)</w:t>
            </w:r>
          </w:p>
        </w:tc>
        <w:tc>
          <w:tcPr>
            <w:tcW w:w="1240" w:type="dxa"/>
            <w:vAlign w:val="bottom"/>
          </w:tcPr>
          <w:p>
            <w:pPr>
              <w:jc w:val="right"/>
              <w:spacing w:after="0"/>
              <w:rPr>
                <w:sz w:val="20"/>
                <w:szCs w:val="20"/>
                <w:color w:val="auto"/>
              </w:rPr>
            </w:pPr>
            <w:r>
              <w:rPr>
                <w:rFonts w:ascii="Arial" w:cs="Arial" w:eastAsia="Arial" w:hAnsi="Arial"/>
                <w:sz w:val="18"/>
                <w:szCs w:val="18"/>
                <w:color w:val="auto"/>
              </w:rPr>
              <w:t>22,529,361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22,529,361</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FCI Trading Corp.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195,686</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Ferrell Propane, Inc. (4)</w:t>
            </w:r>
          </w:p>
        </w:tc>
        <w:tc>
          <w:tcPr>
            <w:tcW w:w="1240" w:type="dxa"/>
            <w:vAlign w:val="bottom"/>
          </w:tcPr>
          <w:p>
            <w:pPr>
              <w:jc w:val="right"/>
              <w:spacing w:after="0"/>
              <w:rPr>
                <w:sz w:val="20"/>
                <w:szCs w:val="20"/>
                <w:color w:val="auto"/>
              </w:rPr>
            </w:pPr>
            <w:r>
              <w:rPr>
                <w:rFonts w:ascii="Arial" w:cs="Arial" w:eastAsia="Arial" w:hAnsi="Arial"/>
                <w:sz w:val="18"/>
                <w:szCs w:val="18"/>
                <w:color w:val="auto"/>
              </w:rPr>
              <w:t>51,204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51,204</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Ferrell (5)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4,763,475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4,763,475</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67" w:lineRule="exact"/>
        <w:rPr>
          <w:sz w:val="20"/>
          <w:szCs w:val="20"/>
          <w:color w:val="auto"/>
        </w:rPr>
      </w:pPr>
    </w:p>
    <w:p>
      <w:pPr>
        <w:ind w:left="380" w:right="99" w:hanging="330"/>
        <w:spacing w:after="0" w:line="308" w:lineRule="auto"/>
        <w:tabs>
          <w:tab w:leader="none" w:pos="3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These common units are traded on the OTC Pink Market under the symbol “FGPR” as of July 31, 2020. As of July 31, 2019, these common units were listed on the New York Stock Exchange under the symbol “FGP.”</w:t>
      </w:r>
    </w:p>
    <w:p>
      <w:pPr>
        <w:spacing w:after="0" w:line="146" w:lineRule="exact"/>
        <w:rPr>
          <w:rFonts w:ascii="Arial" w:cs="Arial" w:eastAsia="Arial" w:hAnsi="Arial"/>
          <w:sz w:val="17"/>
          <w:szCs w:val="17"/>
          <w:color w:val="auto"/>
        </w:rPr>
      </w:pPr>
    </w:p>
    <w:p>
      <w:pPr>
        <w:ind w:left="380" w:right="99" w:hanging="330"/>
        <w:spacing w:after="0" w:line="279" w:lineRule="auto"/>
        <w:tabs>
          <w:tab w:leader="none" w:pos="3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Ferrell Companies is the owner of the general partner and an approximate 23% direct owner of Ferrellgas Partners’ common units and thus a related party. Ferrell Companies also beneficially owns 195,686 and 51,204 common units of Ferrellgas Partners held by FCI Trading Corp. (“FCI Trading”) and Ferrell Propane, Inc. (“Ferrell Propane”), respectively, bringing Ferrell Companies’ total beneficial ownership to 23.4%.</w:t>
      </w:r>
    </w:p>
    <w:p>
      <w:pPr>
        <w:spacing w:after="0" w:line="171" w:lineRule="exact"/>
        <w:rPr>
          <w:rFonts w:ascii="Arial" w:cs="Arial" w:eastAsia="Arial" w:hAnsi="Arial"/>
          <w:sz w:val="17"/>
          <w:szCs w:val="17"/>
          <w:color w:val="auto"/>
        </w:rPr>
      </w:pPr>
    </w:p>
    <w:p>
      <w:pPr>
        <w:ind w:left="380" w:hanging="330"/>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FCI Trading is an affiliate of the general partner and thus a related party.</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Ferrell Propane is controlled by the general partner and thus a related party.</w:t>
      </w:r>
    </w:p>
    <w:p>
      <w:pPr>
        <w:spacing w:after="0" w:line="225" w:lineRule="exact"/>
        <w:rPr>
          <w:rFonts w:ascii="Arial" w:cs="Arial" w:eastAsia="Arial" w:hAnsi="Arial"/>
          <w:sz w:val="18"/>
          <w:szCs w:val="18"/>
          <w:color w:val="auto"/>
        </w:rPr>
      </w:pPr>
    </w:p>
    <w:p>
      <w:pPr>
        <w:ind w:left="380" w:right="79" w:hanging="330"/>
        <w:spacing w:after="0" w:line="254" w:lineRule="auto"/>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James E. Ferrell is the Interim Chief Executive Officer and President of our general partner; and is the Chairman of the Board of Directors of our general partner and a related party. JEF Capital Management owns 4,758,859 of these common units and is owned by the James E. Ferrell Revocable Trust Two and other family trusts, all of which James E. Ferrell and/or his family members are the trustees and beneficiaries. James E. Ferrell holds all voting common stock of JEF Capital Management. The remaining 4,616 common units are held by Ferrell Resources Holdings, Inc., which is wholly-owned by the James E. Ferrell Revocable Trust One, for which James E. Ferrell is the trustee and sole beneficiary.</w:t>
      </w:r>
    </w:p>
    <w:p>
      <w:pPr>
        <w:spacing w:after="0" w:line="195"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Together these limited partner units represent Ferrellgas Partners’ limited partners’ interest and an effective 98% economic interest in Ferrellgas Partners, exclusive of the general partner’s incentive distribution rights. The general partner has an effective 2% interest in Ferrellgas Partners, excluding incentive distribution rights. Since ongoing distributions have not yet reached the levels required to commence payment of incentive distribution rights to the general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partner, distributions to the partners from operations or interim capital transactions will generally be made in accordance with the above percentages. In liquidation, allocations and distributions will be made in accordance with each common unitholder’s positive capital account.</w:t>
      </w:r>
    </w:p>
    <w:p>
      <w:pPr>
        <w:spacing w:after="0" w:line="18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common units of Ferrellgas Partners represent limited partner interests in Ferrellgas Partners, which give the holders thereof the right to participate in distributions made by Ferrellgas Partners and to exercise the other rights or privileges available to such holders under the Fourth Amended and Restated Agreement of Limited Partnership of Ferrellgas Partners, L.P. dated February 18, 2003, as amended (the “Partnership Agreement”). Under the terms of the Partnership Agreement, holders of common units have limited voting rights on matters affecting the business of Ferrellgas Partners. Generally, persons owning 20% or more of Ferrellgas Partners’ outstanding common units cannot vote; however, this limitation does not apply to those common units owned by the general partner or its “affiliates,” as such term is defined in the Partnership Agreement.</w:t>
      </w:r>
    </w:p>
    <w:p>
      <w:pPr>
        <w:spacing w:after="0" w:line="17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Partnership Agreement allows the general partner to issue an unlimited number of additional Ferrellgas general and limited partner interests of Ferrellgas Partners for such consideration and on such terms and conditions as shall be established by the general partner without the approval of any unitholders.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Partnership distributions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Ferrellgas Partners has recognized the following distributions: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41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Public common unitholders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27,846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Ferrell Companies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FCI Trading Corp.</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Ferrell Propane, Inc.</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James E. Ferrell</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partner</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10"/>
        </w:trPr>
        <w:tc>
          <w:tcPr>
            <w:tcW w:w="41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39,254</w:t>
            </w: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Ferrellgas Partners paid cash distributions as detailed in the table above. Ferrellgas Partners did not declare a cash distribution related to the three months ended October 31, 2019, the three months ended January 31, 2020, the three months ended April 30, 2020, or the three months ended July 31, 2020. As discussed in Note I – Debt, Ferrellgas Partners was not permitted, pursuant to the consolidated fixed charge coverage ratio under its indenture, to make restricted payments, including distributions to unitholders.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Accumulated other comprehensive income (loss)(“AOCI”)</w:t>
      </w:r>
    </w:p>
    <w:p>
      <w:pPr>
        <w:spacing w:after="0" w:line="225" w:lineRule="exact"/>
        <w:rPr>
          <w:sz w:val="20"/>
          <w:szCs w:val="20"/>
          <w:color w:val="auto"/>
        </w:rPr>
      </w:pPr>
    </w:p>
    <w:p>
      <w:pPr>
        <w:ind w:left="60" w:right="299" w:firstLine="648"/>
        <w:spacing w:after="0" w:line="308" w:lineRule="auto"/>
        <w:rPr>
          <w:sz w:val="20"/>
          <w:szCs w:val="20"/>
          <w:color w:val="auto"/>
        </w:rPr>
      </w:pPr>
      <w:r>
        <w:rPr>
          <w:rFonts w:ascii="Arial" w:cs="Arial" w:eastAsia="Arial" w:hAnsi="Arial"/>
          <w:sz w:val="17"/>
          <w:szCs w:val="17"/>
          <w:color w:val="auto"/>
        </w:rPr>
        <w:t>See Note M – Derivative instruments and hedging activities – for details regarding changes in fair value on risk management financial derivatives recorded within AOCI for the years ended July 31, 2020 and 2019.</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partner’s commitment to maintain its capital account</w:t>
      </w:r>
    </w:p>
    <w:p>
      <w:pPr>
        <w:spacing w:after="0" w:line="22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Ferrellgas’ partnership agreements allow the general partner to have an option to maintain its effective 2% general partner interest concurrent with the issuance of other additional equity.</w:t>
      </w:r>
    </w:p>
    <w:p>
      <w:pPr>
        <w:spacing w:after="0" w:line="170"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During fiscal 2020, the general partner made non-cash contributions of $57 thousand to Ferrellgas to maintain its effective 2% general partner interest.</w:t>
      </w:r>
    </w:p>
    <w:p>
      <w:pPr>
        <w:spacing w:after="0" w:line="170"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During fiscal 2019, the general partner made non-cash contributions of $0.1 million to Ferrellgas to maintain its effective 2% general partner interest.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60" w:right="259" w:firstLine="648"/>
        <w:spacing w:after="0" w:line="255" w:lineRule="auto"/>
        <w:rPr>
          <w:sz w:val="20"/>
          <w:szCs w:val="20"/>
          <w:color w:val="auto"/>
        </w:rPr>
      </w:pPr>
      <w:r>
        <w:rPr>
          <w:rFonts w:ascii="Arial" w:cs="Arial" w:eastAsia="Arial" w:hAnsi="Arial"/>
          <w:sz w:val="18"/>
          <w:szCs w:val="18"/>
          <w:color w:val="auto"/>
        </w:rPr>
        <w:t>Ferrellgas earns revenue from contracts with customers primarily through the distribution of propane, as well as through the sale of propane related equipment and supplies. Revenues from propane and other gas liquids sales are comprised of revenue earned from the delivery of propane to tanks on customers’ premises, from the delivery of propane filled cylinders to customers, or from the sale of portable propane tanks to nationwide and local retailers and end use customers. Other revenues primarily include sales of appliances and other materials as well as other fees charged to customers.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Contracts with customers</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Ferrellgas’ contracts with customers are principally for the bulk delivery of propane to tanks, delivery of propane filled cylinders or the delivery of portable propane tanks to retailers. Ferrellgas sells propane to a wide variety of customers, including residential, industrial/commercial, portable tank exchange, agricultural, wholesale and others. Ferrellgas’ performance obligations in these contracts are generally limited to the delivery of propane, and therefore revenues from these contracts are earned at the time product is delivered or, in the case of some of Ferrellgas’ portable tank exchange retailers who have consignment agreements, at the time the tanks are sold to the end use customer. Payment is generally due within 30 days. Revenues from sales of propane are included in Propane and other gas liquids sales on the consolidated statements of operations.</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Typically, Ferrellgas bills customers upon delivery and payment is generally due within 30 days. With its residential customers, Ferrellgas offers customers the ability to spread their annual heating costs over a longer period, typically twelve months. Customers who opt to spread their heating costs over a longer period are referred to as “even-pay” customers.</w:t>
      </w:r>
    </w:p>
    <w:p>
      <w:pPr>
        <w:spacing w:after="0" w:line="18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Ferrellgas charges other amounts to customers associated with the delivery of propane including hazardous materials fees and fuel surcharge fees. In some regions, Ferrellgas also sells appliances and related parts and fittings as well as other retail propane related services. Ferrellgas charges on an annual basis tank and equipment rental charges for customers that are using our equipment to store propane. Other revenues associated with deliveries of propane are earned at the time product is delivered. Revenues associated with sales of appliances and other materials or services are earned at the time of delivery or installation. Revenues associated with tank and equipment rentals are generally recognized on a straight-line basis over one year.</w:t>
      </w:r>
    </w:p>
    <w:p>
      <w:pPr>
        <w:spacing w:after="0" w:line="195"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Accounting estimates related to recognition of revenue require that Ferrellgas make estimates and assumptions about various factors including credits issued for completed sales, future returns and total consideration payable in instances where we have customer incentives payable to the customer.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Ferrellgas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633"/>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5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Retail - Sales to End Users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964,087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$ 1,128,991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$ 1,082,046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Wholesale - Sales to Resellers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430,435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419,349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448,943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Gas Sales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111,987</w:t>
            </w: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82,035</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75,534</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147,847</w:t>
            </w:r>
          </w:p>
        </w:tc>
      </w:tr>
      <w:tr>
        <w:trPr>
          <w:trHeight w:val="210"/>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Propane and related equipment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1,497,826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$ 1,684,392</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$ 1,790,823</w:t>
            </w: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Ferrellgas’ performance obligations are generally limited to the delivery of propane for our retail and wholesale contracts. Ferrellgas’ performance obligations with respect to sales of appliances and other materials and other revenues are limited to the delivery of the agreed upon good or service. Ferrellgas does not have material performance obligations that are delivered over time, thus all of our revenue is recognized at the time the goods, including propane, are delivered or installed. Ferrellgas offers “even pay” billing programs that can create customer deposits or advances, depending on whether Ferrellgas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66"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Ferrellgas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Ferrellgas does not capitalize these costs.</w:t>
      </w:r>
    </w:p>
    <w:p>
      <w:pPr>
        <w:spacing w:after="0" w:line="157"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following table presents the opening and closing balances of our receivables, contract assets, and contract liabilities: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July 31, 2019</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108,483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Contract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7,079</w:t>
            </w:r>
          </w:p>
        </w:tc>
        <w:tc>
          <w:tcPr>
            <w:tcW w:w="1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13,609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Deferred revenue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42,911</w:t>
            </w:r>
          </w:p>
        </w:tc>
        <w:tc>
          <w:tcPr>
            <w:tcW w:w="18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31,974</w:t>
            </w:r>
          </w:p>
        </w:tc>
      </w:tr>
    </w:tbl>
    <w:p>
      <w:pPr>
        <w:spacing w:after="0" w:line="187" w:lineRule="exact"/>
        <w:rPr>
          <w:sz w:val="20"/>
          <w:szCs w:val="20"/>
          <w:color w:val="auto"/>
        </w:rPr>
      </w:pPr>
    </w:p>
    <w:p>
      <w:pPr>
        <w:ind w:left="700" w:right="79" w:hanging="326"/>
        <w:spacing w:after="0" w:line="277"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Of the beginning balance of deferred revenue, $29.8 million was recognized as revenue during the year ended July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Ferrellgas’ remaining performance obligations are generally limited to situations where its customers have remitted payment but have not yet received deliveries of propane. This most commonly occurs in Ferrellgas’ even pay billing programs and Ferrellgas expects that these balances will be recognized within a year or less as the customer takes delivery of propane.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0" w:hanging="530"/>
        <w:spacing w:after="0"/>
        <w:tabs>
          <w:tab w:leader="none" w:pos="5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following table presents Ferrellgas’ financial assets and financial liabilities that are measured at fair value on a recurring basis for each of the fair value hierarchy levels, including both current and noncurrent portions, as of July 31, 2020 and 2019:</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Asset (Liability)</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Unobservable 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Assets and Liabilities</w:t>
            </w:r>
          </w:p>
        </w:tc>
        <w:tc>
          <w:tcPr>
            <w:tcW w:w="12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2020: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1,259</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Methodology</w:t>
      </w:r>
    </w:p>
    <w:p>
      <w:pPr>
        <w:spacing w:after="0" w:line="22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fair values of Ferrellgas’ non-exchange traded commodity derivative contracts are based upon indicative price quotations available through brokers, industry price publications or recent market transactions and related market indicators.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carrying amounts of other financial instruments included in current assets and current liabilities (except for current maturities of long-term debt) approximate their fair values because of their short-term nature. At July 31, 2020 and July 31, 2019, the estimated fair value of Ferrellgas’ long-term debt instruments was $2,177.1 million and $1,824.6 million, respectively. Ferrellgas estimates the fair value of long-term debt based on quoted market prices. The fair value of Ferrellgas’ consolidated debt obligations is a Level 2 valuation based on the observable inputs used for similar liabilities.</w:t>
      </w:r>
    </w:p>
    <w:p>
      <w:pPr>
        <w:spacing w:after="0" w:line="161"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Ferrellgas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80" w:lineRule="exact"/>
        <w:rPr>
          <w:sz w:val="20"/>
          <w:szCs w:val="20"/>
          <w:color w:val="auto"/>
        </w:rPr>
      </w:pPr>
    </w:p>
    <w:p>
      <w:pPr>
        <w:ind w:left="620" w:hanging="570"/>
        <w:spacing w:after="0"/>
        <w:tabs>
          <w:tab w:leader="none" w:pos="6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Ferrellgas is exposed to certain market risks related to its ongoing business operations. These risks include exposure to changing commodity prices as well as fluctuations in interest rates. Ferrellgas utilizes derivative instruments to manage its exposure to fluctuations in commodity prices. Of these, the propane commodity derivative instruments are designated as cash flow hedges.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During the year ended July 31, 2020 and 2019, Ferrellgas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84"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tables provide a summary of the fair value of derivatives within Ferrellgas’ consolidated balance sheets as of July 31, 2020 and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20" w:type="dxa"/>
            <w:vAlign w:val="bottom"/>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4"/>
              </w:rPr>
              <w:t>July 31, 2020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Maturity</w:t>
            </w:r>
          </w:p>
        </w:tc>
        <w:tc>
          <w:tcPr>
            <w:tcW w:w="20" w:type="dxa"/>
            <w:vAlign w:val="bottom"/>
          </w:tcPr>
          <w:p>
            <w:pPr>
              <w:spacing w:after="0"/>
              <w:rPr>
                <w:sz w:val="12"/>
                <w:szCs w:val="12"/>
                <w:color w:val="auto"/>
              </w:rPr>
            </w:pPr>
          </w:p>
        </w:tc>
        <w:tc>
          <w:tcPr>
            <w:tcW w:w="1980" w:type="dxa"/>
            <w:vAlign w:val="bottom"/>
            <w:tcBorders>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w w:val="92"/>
              </w:rPr>
              <w:t>Asset Derivatives</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Borders>
              <w:bottom w:val="single" w:sz="8" w:color="auto"/>
            </w:tcBorders>
            <w:gridSpan w:val="6"/>
          </w:tcPr>
          <w:p>
            <w:pPr>
              <w:jc w:val="right"/>
              <w:ind w:right="230"/>
              <w:spacing w:after="0" w:line="142" w:lineRule="exact"/>
              <w:rPr>
                <w:sz w:val="20"/>
                <w:szCs w:val="20"/>
                <w:color w:val="auto"/>
              </w:rPr>
            </w:pPr>
            <w:r>
              <w:rPr>
                <w:rFonts w:ascii="Arial" w:cs="Arial" w:eastAsia="Arial" w:hAnsi="Arial"/>
                <w:sz w:val="14"/>
                <w:szCs w:val="14"/>
                <w:b w:val="1"/>
                <w:bCs w:val="1"/>
                <w:color w:val="auto"/>
              </w:rPr>
              <w:t>Liability Derivatives</w:t>
            </w:r>
          </w:p>
        </w:tc>
      </w:tr>
      <w:tr>
        <w:trPr>
          <w:trHeight w:val="142"/>
        </w:trPr>
        <w:tc>
          <w:tcPr>
            <w:tcW w:w="2740" w:type="dxa"/>
            <w:vAlign w:val="bottom"/>
            <w:gridSpan w:val="2"/>
          </w:tcPr>
          <w:p>
            <w:pPr>
              <w:ind w:left="680"/>
              <w:spacing w:after="0" w:line="142" w:lineRule="exact"/>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2"/>
                <w:szCs w:val="12"/>
                <w:color w:val="auto"/>
              </w:rPr>
            </w:pPr>
          </w:p>
        </w:tc>
        <w:tc>
          <w:tcPr>
            <w:tcW w:w="1980" w:type="dxa"/>
            <w:vAlign w:val="bottom"/>
          </w:tcPr>
          <w:p>
            <w:pPr>
              <w:ind w:left="740"/>
              <w:spacing w:after="0" w:line="142" w:lineRule="exact"/>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4"/>
              </w:rPr>
              <w:t>Fair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Fair value</w:t>
            </w:r>
          </w:p>
        </w:tc>
      </w:tr>
      <w:tr>
        <w:trPr>
          <w:trHeight w:val="195"/>
        </w:trPr>
        <w:tc>
          <w:tcPr>
            <w:tcW w:w="27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Derivatives designated as hedging</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gridSpan w:val="3"/>
            <w:shd w:val="clear" w:color="auto" w:fill="CCEEFF"/>
          </w:tcPr>
          <w:p>
            <w:pPr>
              <w:jc w:val="center"/>
              <w:ind w:right="1928"/>
              <w:spacing w:after="0" w:line="195" w:lineRule="exact"/>
              <w:rPr>
                <w:sz w:val="20"/>
                <w:szCs w:val="20"/>
                <w:color w:val="auto"/>
              </w:rPr>
            </w:pPr>
            <w:r>
              <w:rPr>
                <w:rFonts w:ascii="Arial" w:cs="Arial" w:eastAsia="Arial" w:hAnsi="Arial"/>
                <w:sz w:val="18"/>
                <w:szCs w:val="18"/>
                <w:color w:val="auto"/>
                <w:w w:val="88"/>
              </w:rPr>
              <w:t>December 2021</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Commodity derivatives-propane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87"/>
              </w:rPr>
              <w:t>Prepaid expenses and other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Other current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$ 5,029</w:t>
            </w:r>
          </w:p>
        </w:tc>
      </w:tr>
      <w:tr>
        <w:trPr>
          <w:trHeight w:val="202"/>
        </w:trPr>
        <w:tc>
          <w:tcPr>
            <w:tcW w:w="27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Commodity derivatives-propane</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Other assets, net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0"/>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3,112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$ 5,425</w:t>
            </w: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8"/>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42"/>
        </w:trPr>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Maturity</w:t>
            </w:r>
          </w:p>
        </w:tc>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ind w:left="860"/>
              <w:spacing w:after="0" w:line="142" w:lineRule="exact"/>
              <w:rPr>
                <w:sz w:val="20"/>
                <w:szCs w:val="20"/>
                <w:color w:val="auto"/>
              </w:rPr>
            </w:pPr>
            <w:r>
              <w:rPr>
                <w:rFonts w:ascii="Arial" w:cs="Arial" w:eastAsia="Arial" w:hAnsi="Arial"/>
                <w:sz w:val="14"/>
                <w:szCs w:val="14"/>
                <w:b w:val="1"/>
                <w:bCs w:val="1"/>
                <w:color w:val="auto"/>
                <w:w w:val="94"/>
              </w:rPr>
              <w:t>Asset Derivatives</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right"/>
              <w:ind w:right="250"/>
              <w:spacing w:after="0" w:line="142" w:lineRule="exact"/>
              <w:rPr>
                <w:sz w:val="20"/>
                <w:szCs w:val="20"/>
                <w:color w:val="auto"/>
              </w:rPr>
            </w:pPr>
            <w:r>
              <w:rPr>
                <w:rFonts w:ascii="Arial" w:cs="Arial" w:eastAsia="Arial" w:hAnsi="Arial"/>
                <w:sz w:val="14"/>
                <w:szCs w:val="14"/>
                <w:b w:val="1"/>
                <w:bCs w:val="1"/>
                <w:color w:val="auto"/>
              </w:rPr>
              <w:t>Liability Derivatives</w:t>
            </w:r>
          </w:p>
        </w:tc>
      </w:tr>
      <w:tr>
        <w:trPr>
          <w:trHeight w:val="142"/>
        </w:trPr>
        <w:tc>
          <w:tcPr>
            <w:tcW w:w="274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2"/>
                <w:szCs w:val="12"/>
                <w:color w:val="auto"/>
              </w:rPr>
            </w:pPr>
          </w:p>
        </w:tc>
        <w:tc>
          <w:tcPr>
            <w:tcW w:w="1980" w:type="dxa"/>
            <w:vAlign w:val="bottom"/>
          </w:tcPr>
          <w:p>
            <w:pPr>
              <w:ind w:left="720"/>
              <w:spacing w:after="0" w:line="142" w:lineRule="exact"/>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Fair value</w:t>
            </w:r>
          </w:p>
        </w:tc>
      </w:tr>
      <w:tr>
        <w:trPr>
          <w:trHeight w:val="195"/>
        </w:trPr>
        <w:tc>
          <w:tcPr>
            <w:tcW w:w="2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Derivatives designated as hedging</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December 2021</w:t>
            </w:r>
          </w:p>
        </w:tc>
        <w:tc>
          <w:tcPr>
            <w:tcW w:w="2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02"/>
        </w:trPr>
        <w:tc>
          <w:tcPr>
            <w:tcW w:w="2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Commodity derivatives-propane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gridSpan w:val="2"/>
          </w:tcPr>
          <w:p>
            <w:pPr>
              <w:spacing w:after="0" w:line="201" w:lineRule="exact"/>
              <w:rPr>
                <w:sz w:val="20"/>
                <w:szCs w:val="20"/>
                <w:color w:val="auto"/>
              </w:rPr>
            </w:pPr>
            <w:r>
              <w:rPr>
                <w:rFonts w:ascii="Arial" w:cs="Arial" w:eastAsia="Arial" w:hAnsi="Arial"/>
                <w:sz w:val="18"/>
                <w:szCs w:val="18"/>
                <w:color w:val="auto"/>
                <w:w w:val="87"/>
              </w:rPr>
              <w:t>Prepaid expenses and other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Other current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20"/>
                <w:szCs w:val="20"/>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rPr>
              <w:t>liabilities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9"/>
              </w:rPr>
              <w:t>$ 14,198</w:t>
            </w:r>
          </w:p>
        </w:tc>
      </w:tr>
      <w:tr>
        <w:trPr>
          <w:trHeight w:val="202"/>
        </w:trPr>
        <w:tc>
          <w:tcPr>
            <w:tcW w:w="27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Commodity derivatives-propane</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assets, net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10"/>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$ 1,259</w:t>
            </w:r>
          </w:p>
        </w:tc>
        <w:tc>
          <w:tcPr>
            <w:tcW w:w="4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$ 16,015</w:t>
            </w: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Ferrellgas’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for contracts that are in a positive mark-to-market position. The following tables provide a summary of cash margin balances as of July 31, 2020 and July 31, 2019, respectively: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July 31, 2020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Borders>
              <w:bottom w:val="single" w:sz="8" w:color="auto"/>
            </w:tcBorders>
          </w:tcPr>
          <w:p>
            <w:pPr>
              <w:ind w:left="1340"/>
              <w:spacing w:after="0" w:line="142" w:lineRule="exact"/>
              <w:rPr>
                <w:sz w:val="20"/>
                <w:szCs w:val="20"/>
                <w:color w:val="auto"/>
              </w:rPr>
            </w:pPr>
            <w:r>
              <w:rPr>
                <w:rFonts w:ascii="Arial" w:cs="Arial" w:eastAsia="Arial" w:hAnsi="Arial"/>
                <w:sz w:val="14"/>
                <w:szCs w:val="14"/>
                <w:b w:val="1"/>
                <w:bCs w:val="1"/>
                <w:color w:val="auto"/>
              </w:rPr>
              <w:t>Assets</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gridSpan w:val="3"/>
          </w:tcPr>
          <w:p>
            <w:pPr>
              <w:ind w:left="700"/>
              <w:spacing w:after="0" w:line="142" w:lineRule="exact"/>
              <w:rPr>
                <w:sz w:val="20"/>
                <w:szCs w:val="20"/>
                <w:color w:val="auto"/>
              </w:rPr>
            </w:pPr>
            <w:r>
              <w:rPr>
                <w:rFonts w:ascii="Arial" w:cs="Arial" w:eastAsia="Arial" w:hAnsi="Arial"/>
                <w:sz w:val="14"/>
                <w:szCs w:val="14"/>
                <w:b w:val="1"/>
                <w:bCs w:val="1"/>
                <w:color w:val="auto"/>
                <w:w w:val="95"/>
              </w:rPr>
              <w:t>Liabilities</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840"/>
              <w:spacing w:after="0" w:line="142" w:lineRule="exact"/>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5"/>
        </w:trPr>
        <w:tc>
          <w:tcPr>
            <w:tcW w:w="35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Margin Balances</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Prepaid expense and other</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Other current</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$ 14,398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ind w:left="40"/>
              <w:spacing w:after="0"/>
              <w:rPr>
                <w:sz w:val="20"/>
                <w:szCs w:val="20"/>
                <w:color w:val="auto"/>
              </w:rPr>
            </w:pPr>
            <w:r>
              <w:rPr>
                <w:rFonts w:ascii="Arial" w:cs="Arial" w:eastAsia="Arial" w:hAnsi="Arial"/>
                <w:sz w:val="18"/>
                <w:szCs w:val="18"/>
                <w:color w:val="auto"/>
              </w:rPr>
              <w:t>Other assets, net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color w:val="auto"/>
              </w:rPr>
              <w:t>Other liabilities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$ 15,831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July 31, 2019</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ind w:left="1300"/>
              <w:spacing w:after="0" w:line="142" w:lineRule="exact"/>
              <w:rPr>
                <w:sz w:val="20"/>
                <w:szCs w:val="20"/>
                <w:color w:val="auto"/>
              </w:rPr>
            </w:pPr>
            <w:r>
              <w:rPr>
                <w:rFonts w:ascii="Arial" w:cs="Arial" w:eastAsia="Arial" w:hAnsi="Arial"/>
                <w:sz w:val="14"/>
                <w:szCs w:val="14"/>
                <w:b w:val="1"/>
                <w:bCs w:val="1"/>
                <w:color w:val="auto"/>
              </w:rPr>
              <w:t>Assets</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680"/>
              <w:spacing w:after="0" w:line="142" w:lineRule="exact"/>
              <w:rPr>
                <w:sz w:val="20"/>
                <w:szCs w:val="20"/>
                <w:color w:val="auto"/>
              </w:rPr>
            </w:pPr>
            <w:r>
              <w:rPr>
                <w:rFonts w:ascii="Arial" w:cs="Arial" w:eastAsia="Arial" w:hAnsi="Arial"/>
                <w:sz w:val="14"/>
                <w:szCs w:val="14"/>
                <w:b w:val="1"/>
                <w:bCs w:val="1"/>
                <w:color w:val="auto"/>
                <w:w w:val="99"/>
              </w:rPr>
              <w:t>Liabilities</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800"/>
              <w:spacing w:after="0" w:line="142" w:lineRule="exact"/>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Margin Balances</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 expense and other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Other current</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$ 25,028</w:t>
            </w:r>
          </w:p>
        </w:tc>
        <w:tc>
          <w:tcPr>
            <w:tcW w:w="40" w:type="dxa"/>
            <w:vAlign w:val="bottom"/>
            <w:shd w:val="clear" w:color="auto" w:fill="CCEEFF"/>
          </w:tcPr>
          <w:p>
            <w:pPr>
              <w:spacing w:after="0"/>
              <w:rPr>
                <w:sz w:val="20"/>
                <w:szCs w:val="20"/>
                <w:color w:val="auto"/>
              </w:rPr>
            </w:pPr>
          </w:p>
        </w:tc>
        <w:tc>
          <w:tcPr>
            <w:tcW w:w="15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$ 1,217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gridSpan w:val="3"/>
          </w:tcPr>
          <w:p>
            <w:pPr>
              <w:ind w:left="100"/>
              <w:spacing w:after="0"/>
              <w:rPr>
                <w:sz w:val="20"/>
                <w:szCs w:val="20"/>
                <w:color w:val="auto"/>
              </w:rPr>
            </w:pPr>
            <w:r>
              <w:rPr>
                <w:rFonts w:ascii="Arial" w:cs="Arial" w:eastAsia="Arial" w:hAnsi="Arial"/>
                <w:sz w:val="18"/>
                <w:szCs w:val="18"/>
                <w:color w:val="auto"/>
              </w:rPr>
              <w:t>Other assets, net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c>
          <w:tcPr>
            <w:tcW w:w="1500" w:type="dxa"/>
            <w:vAlign w:val="bottom"/>
            <w:gridSpan w:val="5"/>
          </w:tcPr>
          <w:p>
            <w:pPr>
              <w:ind w:left="100"/>
              <w:spacing w:after="0"/>
              <w:rPr>
                <w:sz w:val="20"/>
                <w:szCs w:val="20"/>
                <w:color w:val="auto"/>
              </w:rPr>
            </w:pPr>
            <w:r>
              <w:rPr>
                <w:rFonts w:ascii="Arial" w:cs="Arial" w:eastAsia="Arial" w:hAnsi="Arial"/>
                <w:sz w:val="18"/>
                <w:szCs w:val="18"/>
                <w:color w:val="auto"/>
              </w:rPr>
              <w:t>Other liabilities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$ 27,997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$ 1,217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During fiscal 2018, Ferrellgas terminated the interest rate swaps that were designated as a fair value hedging instrument and cash flow hedging instrument. Upon termination, Ferrellgas paid the counterparty $4.2 million. Since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interest rate swap designated as a fair value hedging instrument that was terminated involves a hedge of an interest-bearing liability, the senior notes due May 1, 2021, Ferrellgas capitalized the fair value of the hedge at termination of $4.2 million and will amortize the balance on a straight-line basis to interest expense over the remaining useful life of the hedged item, the 2021 Notes. The following table provides a summary of the effect on Ferrellgas’ consolidated statements of comprehensive income for the years ended July 31, 2020, 2019 and 2018 due to derivatives designated as fair value hedging instruments: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vMerge w:val="restart"/>
          </w:tcPr>
          <w:p>
            <w:pPr>
              <w:jc w:val="center"/>
              <w:ind w:right="30"/>
              <w:spacing w:after="0"/>
              <w:rPr>
                <w:sz w:val="20"/>
                <w:szCs w:val="20"/>
                <w:color w:val="auto"/>
              </w:rPr>
            </w:pPr>
            <w:r>
              <w:rPr>
                <w:rFonts w:ascii="Arial" w:cs="Arial" w:eastAsia="Arial" w:hAnsi="Arial"/>
                <w:sz w:val="14"/>
                <w:szCs w:val="14"/>
                <w:b w:val="1"/>
                <w:bCs w:val="1"/>
                <w:color w:val="auto"/>
                <w:w w:val="92"/>
              </w:rPr>
              <w:t>Amount of Gain Recognized 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2"/>
              </w:rPr>
              <w:t>Amount of Interest Expense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207"/>
              <w:spacing w:after="0"/>
              <w:rPr>
                <w:sz w:val="20"/>
                <w:szCs w:val="20"/>
                <w:color w:val="auto"/>
              </w:rPr>
            </w:pPr>
            <w:r>
              <w:rPr>
                <w:rFonts w:ascii="Arial" w:cs="Arial" w:eastAsia="Arial" w:hAnsi="Arial"/>
                <w:sz w:val="14"/>
                <w:szCs w:val="14"/>
                <w:b w:val="1"/>
                <w:bCs w:val="1"/>
                <w:color w:val="auto"/>
                <w:w w:val="94"/>
              </w:rPr>
              <w:t>Location of Gain</w:t>
            </w:r>
          </w:p>
        </w:tc>
        <w:tc>
          <w:tcPr>
            <w:tcW w:w="22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Recognized on Fixed-Rated Debt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4"/>
              </w:rPr>
              <w:t>(Related Hedged Item)</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Recognized on</w:t>
            </w:r>
          </w:p>
        </w:tc>
        <w:tc>
          <w:tcPr>
            <w:tcW w:w="120" w:type="dxa"/>
            <w:vAlign w:val="bottom"/>
            <w:tcBorders>
              <w:top w:val="single" w:sz="8" w:color="auto"/>
              <w:bottom w:val="single" w:sz="8" w:color="auto"/>
            </w:tcBorders>
          </w:tcPr>
          <w:p>
            <w:pPr>
              <w:spacing w:after="0"/>
              <w:rPr>
                <w:sz w:val="12"/>
                <w:szCs w:val="12"/>
                <w:color w:val="auto"/>
              </w:rPr>
            </w:pPr>
          </w:p>
        </w:tc>
        <w:tc>
          <w:tcPr>
            <w:tcW w:w="2240" w:type="dxa"/>
            <w:vAlign w:val="bottom"/>
            <w:tcBorders>
              <w:top w:val="single" w:sz="8" w:color="auto"/>
              <w:bottom w:val="single" w:sz="8" w:color="auto"/>
            </w:tcBorders>
            <w:gridSpan w:val="6"/>
          </w:tcPr>
          <w:p>
            <w:pPr>
              <w:jc w:val="center"/>
              <w:ind w:right="70"/>
              <w:spacing w:after="0" w:line="142" w:lineRule="exact"/>
              <w:rPr>
                <w:sz w:val="20"/>
                <w:szCs w:val="20"/>
                <w:color w:val="auto"/>
              </w:rPr>
            </w:pPr>
            <w:r>
              <w:rPr>
                <w:rFonts w:ascii="Arial" w:cs="Arial" w:eastAsia="Arial" w:hAnsi="Arial"/>
                <w:sz w:val="14"/>
                <w:szCs w:val="14"/>
                <w:b w:val="1"/>
                <w:bCs w:val="1"/>
                <w:color w:val="auto"/>
                <w:w w:val="93"/>
              </w:rPr>
              <w:t>For the year ended July 31,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6"/>
          </w:tcPr>
          <w:p>
            <w:pPr>
              <w:jc w:val="center"/>
              <w:ind w:right="70"/>
              <w:spacing w:after="0" w:line="142" w:lineRule="exact"/>
              <w:rPr>
                <w:sz w:val="20"/>
                <w:szCs w:val="20"/>
                <w:color w:val="auto"/>
              </w:rPr>
            </w:pPr>
            <w:r>
              <w:rPr>
                <w:rFonts w:ascii="Arial" w:cs="Arial" w:eastAsia="Arial" w:hAnsi="Arial"/>
                <w:sz w:val="14"/>
                <w:szCs w:val="14"/>
                <w:b w:val="1"/>
                <w:bCs w:val="1"/>
                <w:color w:val="auto"/>
                <w:w w:val="93"/>
              </w:rPr>
              <w:t>For the year ended July 31,</w:t>
            </w:r>
          </w:p>
        </w:tc>
        <w:tc>
          <w:tcPr>
            <w:tcW w:w="0" w:type="dxa"/>
            <w:vAlign w:val="bottom"/>
          </w:tcPr>
          <w:p>
            <w:pPr>
              <w:spacing w:after="0"/>
              <w:rPr>
                <w:sz w:val="1"/>
                <w:szCs w:val="1"/>
                <w:color w:val="auto"/>
              </w:rPr>
            </w:pPr>
          </w:p>
        </w:tc>
      </w:tr>
      <w:tr>
        <w:trPr>
          <w:trHeight w:val="142"/>
        </w:trPr>
        <w:tc>
          <w:tcPr>
            <w:tcW w:w="264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Derivative Instrument</w:t>
            </w: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46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85"/>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2019</w:t>
            </w:r>
          </w:p>
        </w:tc>
        <w:tc>
          <w:tcPr>
            <w:tcW w:w="94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(6,825)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The following tables provide a summary of the effect on Ferrellgas’ consolidated statements of comprehensive income for the years ended July 31, 2020, 2019 and 2018 due to derivatives designated as cash flow hedging instruments: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Derivative Instrument</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Derivative Instrument</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Commodity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Derivative Instrument</w:t>
      </w:r>
    </w:p>
    <w:p>
      <w:pPr>
        <w:spacing w:after="0" w:line="200" w:lineRule="exact"/>
        <w:rPr>
          <w:sz w:val="20"/>
          <w:szCs w:val="20"/>
          <w:color w:val="auto"/>
        </w:rPr>
      </w:pPr>
    </w:p>
    <w:p>
      <w:pPr>
        <w:spacing w:after="0" w:line="253" w:lineRule="exact"/>
        <w:rPr>
          <w:sz w:val="20"/>
          <w:szCs w:val="20"/>
          <w:color w:val="auto"/>
        </w:rPr>
      </w:pPr>
    </w:p>
    <w:p>
      <w:pPr>
        <w:ind w:left="60" w:right="100"/>
        <w:spacing w:after="0" w:line="381" w:lineRule="auto"/>
        <w:rPr>
          <w:sz w:val="20"/>
          <w:szCs w:val="20"/>
          <w:color w:val="auto"/>
        </w:rPr>
      </w:pPr>
      <w:r>
        <w:rPr>
          <w:rFonts w:ascii="Arial" w:cs="Arial" w:eastAsia="Arial" w:hAnsi="Arial"/>
          <w:sz w:val="15"/>
          <w:szCs w:val="15"/>
          <w:color w:val="auto"/>
        </w:rPr>
        <w:t>Commodity derivatives Interest rate swap agreements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For the year ended July 31,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Amount of Gain</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Gain (Loss)</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6"/>
          </w:tcPr>
          <w:p>
            <w:pPr>
              <w:jc w:val="center"/>
              <w:ind w:right="4"/>
              <w:spacing w:after="0" w:line="119" w:lineRule="exact"/>
              <w:rPr>
                <w:sz w:val="20"/>
                <w:szCs w:val="20"/>
                <w:color w:val="auto"/>
              </w:rPr>
            </w:pPr>
            <w:r>
              <w:rPr>
                <w:rFonts w:ascii="Arial" w:cs="Arial" w:eastAsia="Arial" w:hAnsi="Arial"/>
                <w:sz w:val="13"/>
                <w:szCs w:val="13"/>
                <w:b w:val="1"/>
                <w:bCs w:val="1"/>
                <w:color w:val="auto"/>
              </w:rPr>
              <w:t>Amount of Gain (Loss)</w:t>
            </w:r>
          </w:p>
        </w:tc>
        <w:tc>
          <w:tcPr>
            <w:tcW w:w="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(Loss) Recognized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AOCI into Income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AOCI</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AOCI into Income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Ineffective portion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Cost of product sold-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4"/>
          </w:tcPr>
          <w:p>
            <w:pPr>
              <w:ind w:left="60"/>
              <w:spacing w:after="0"/>
              <w:rPr>
                <w:sz w:val="20"/>
                <w:szCs w:val="20"/>
                <w:color w:val="auto"/>
              </w:rPr>
            </w:pPr>
            <w:r>
              <w:rPr>
                <w:rFonts w:ascii="Arial" w:cs="Arial" w:eastAsia="Arial" w:hAnsi="Arial"/>
                <w:sz w:val="18"/>
                <w:szCs w:val="18"/>
                <w:color w:val="auto"/>
              </w:rPr>
              <w:t>propane and other gas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(22,872)</w:t>
            </w:r>
          </w:p>
        </w:tc>
        <w:tc>
          <w:tcPr>
            <w:tcW w:w="80" w:type="dxa"/>
            <w:vAlign w:val="bottom"/>
          </w:tcPr>
          <w:p>
            <w:pPr>
              <w:spacing w:after="0"/>
              <w:rPr>
                <w:sz w:val="20"/>
                <w:szCs w:val="20"/>
                <w:color w:val="auto"/>
              </w:rPr>
            </w:pPr>
          </w:p>
        </w:tc>
        <w:tc>
          <w:tcPr>
            <w:tcW w:w="2020" w:type="dxa"/>
            <w:vAlign w:val="bottom"/>
            <w:gridSpan w:val="4"/>
          </w:tcPr>
          <w:p>
            <w:pPr>
              <w:ind w:left="60"/>
              <w:spacing w:after="0"/>
              <w:rPr>
                <w:sz w:val="20"/>
                <w:szCs w:val="20"/>
                <w:color w:val="auto"/>
              </w:rPr>
            </w:pPr>
            <w:r>
              <w:rPr>
                <w:rFonts w:ascii="Arial" w:cs="Arial" w:eastAsia="Arial" w:hAnsi="Arial"/>
                <w:sz w:val="18"/>
                <w:szCs w:val="18"/>
                <w:color w:val="auto"/>
              </w:rPr>
              <w:t>liquids sales</w:t>
            </w:r>
          </w:p>
        </w:tc>
        <w:tc>
          <w:tcPr>
            <w:tcW w:w="52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(35,315)</w:t>
            </w:r>
          </w:p>
        </w:tc>
        <w:tc>
          <w:tcPr>
            <w:tcW w:w="96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(35,315)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1"/>
              </w:rPr>
              <w:t>For the year ended July 31, 2019</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Amount of Gain (Loss)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9"/>
              </w:rPr>
              <w:t>Amount of Gain (Loss)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AOCI into Income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AOCI</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7"/>
              </w:rPr>
              <w:t>AOCI into Income</w:t>
            </w:r>
          </w:p>
        </w:tc>
        <w:tc>
          <w:tcPr>
            <w:tcW w:w="120" w:type="dxa"/>
            <w:vAlign w:val="bottom"/>
          </w:tcPr>
          <w:p>
            <w:pPr>
              <w:spacing w:after="0"/>
              <w:rPr>
                <w:sz w:val="12"/>
                <w:szCs w:val="12"/>
                <w:color w:val="auto"/>
              </w:rPr>
            </w:pPr>
          </w:p>
        </w:tc>
        <w:tc>
          <w:tcPr>
            <w:tcW w:w="1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Ineffective portion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sold-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propane and other gas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gridSpan w:val="3"/>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(48,184)</w:t>
            </w:r>
          </w:p>
        </w:tc>
        <w:tc>
          <w:tcPr>
            <w:tcW w:w="6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liquids sales</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(12,868)</w:t>
            </w:r>
          </w:p>
        </w:tc>
        <w:tc>
          <w:tcPr>
            <w:tcW w:w="20" w:type="dxa"/>
            <w:vAlign w:val="bottom"/>
          </w:tcPr>
          <w:p>
            <w:pPr>
              <w:spacing w:after="0"/>
              <w:rPr>
                <w:sz w:val="20"/>
                <w:szCs w:val="20"/>
                <w:color w:val="auto"/>
              </w:rPr>
            </w:pPr>
          </w:p>
        </w:tc>
        <w:tc>
          <w:tcPr>
            <w:tcW w:w="960" w:type="dxa"/>
            <w:vAlign w:val="bottom"/>
            <w:gridSpan w:val="4"/>
          </w:tcPr>
          <w:p>
            <w:pPr>
              <w:jc w:val="right"/>
              <w:ind w:right="664"/>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(48,184)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gridSpan w:val="3"/>
          </w:tcPr>
          <w:p>
            <w:pPr>
              <w:jc w:val="right"/>
              <w:ind w:right="66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1"/>
              </w:rPr>
              <w:t>For the year ended July 31, 2018</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Amount of Gain (Loss)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9"/>
              </w:rPr>
              <w:t>Amount of Gain (Loss)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AOCI into Income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AOCI</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7"/>
              </w:rPr>
              <w:t>AOCI into Income</w:t>
            </w:r>
          </w:p>
        </w:tc>
        <w:tc>
          <w:tcPr>
            <w:tcW w:w="120" w:type="dxa"/>
            <w:vAlign w:val="bottom"/>
          </w:tcPr>
          <w:p>
            <w:pPr>
              <w:spacing w:after="0"/>
              <w:rPr>
                <w:sz w:val="12"/>
                <w:szCs w:val="12"/>
                <w:color w:val="auto"/>
              </w:rPr>
            </w:pPr>
          </w:p>
        </w:tc>
        <w:tc>
          <w:tcPr>
            <w:tcW w:w="1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Ineffective portion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sales-propane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and other gas liquids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gridSpan w:val="3"/>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30,231</w:t>
            </w:r>
          </w:p>
        </w:tc>
        <w:tc>
          <w:tcPr>
            <w:tcW w:w="6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sales</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24,714</w:t>
            </w:r>
          </w:p>
        </w:tc>
        <w:tc>
          <w:tcPr>
            <w:tcW w:w="20" w:type="dxa"/>
            <w:vAlign w:val="bottom"/>
          </w:tcPr>
          <w:p>
            <w:pPr>
              <w:spacing w:after="0"/>
              <w:rPr>
                <w:sz w:val="18"/>
                <w:szCs w:val="18"/>
                <w:color w:val="auto"/>
              </w:rPr>
            </w:pPr>
          </w:p>
        </w:tc>
        <w:tc>
          <w:tcPr>
            <w:tcW w:w="960" w:type="dxa"/>
            <w:vAlign w:val="bottom"/>
            <w:gridSpan w:val="4"/>
          </w:tcPr>
          <w:p>
            <w:pPr>
              <w:jc w:val="right"/>
              <w:ind w:right="664"/>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gridSpan w:val="2"/>
          </w:tcPr>
          <w:p>
            <w:pPr>
              <w:jc w:val="right"/>
              <w:ind w:right="27"/>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30,231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24,319</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20" w:type="dxa"/>
            <w:vAlign w:val="bottom"/>
            <w:gridSpan w:val="2"/>
          </w:tcPr>
          <w:p>
            <w:pPr>
              <w:jc w:val="right"/>
              <w:ind w:right="664"/>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-3179445</wp:posOffset>
            </wp:positionV>
            <wp:extent cx="5648960" cy="419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5648960" cy="41973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-1953895</wp:posOffset>
            </wp:positionV>
            <wp:extent cx="5648960" cy="420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5648960" cy="42037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-170815</wp:posOffset>
            </wp:positionV>
            <wp:extent cx="564896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-728345</wp:posOffset>
            </wp:positionV>
            <wp:extent cx="5648960" cy="420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564896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720"/>
            <w:col w:w="601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firstLine="648"/>
        <w:spacing w:after="0" w:line="311" w:lineRule="auto"/>
        <w:rPr>
          <w:sz w:val="20"/>
          <w:szCs w:val="20"/>
          <w:color w:val="auto"/>
        </w:rPr>
      </w:pPr>
      <w:r>
        <w:rPr>
          <w:rFonts w:ascii="Arial" w:cs="Arial" w:eastAsia="Arial" w:hAnsi="Arial"/>
          <w:sz w:val="16"/>
          <w:szCs w:val="16"/>
          <w:color w:val="auto"/>
        </w:rPr>
        <w:t>The following table provides a summary of the effect on Ferrellgas’ consolidated statements of comprehensive income for the years ended July 31, 2020, 2019 and 2018 due to the change in fair value of derivatives not designated as hedging instruments. There was no effect for the years ended July 31, 2020 and 2019.</w:t>
      </w:r>
    </w:p>
    <w:p>
      <w:pPr>
        <w:spacing w:after="0" w:line="154"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For the year ended July 31, 2018</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1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Borders>
              <w:top w:val="single" w:sz="8" w:color="auto"/>
            </w:tcBorders>
            <w:vMerge w:val="restart"/>
          </w:tcPr>
          <w:p>
            <w:pPr>
              <w:spacing w:after="0"/>
              <w:rPr>
                <w:sz w:val="10"/>
                <w:szCs w:val="10"/>
                <w:color w:val="auto"/>
              </w:rPr>
            </w:pPr>
          </w:p>
        </w:tc>
        <w:tc>
          <w:tcPr>
            <w:tcW w:w="1640" w:type="dxa"/>
            <w:vAlign w:val="bottom"/>
            <w:tcBorders>
              <w:top w:val="single" w:sz="8" w:color="auto"/>
            </w:tcBorders>
          </w:tcPr>
          <w:p>
            <w:pPr>
              <w:jc w:val="center"/>
              <w:ind w:right="64"/>
              <w:spacing w:after="0" w:line="119" w:lineRule="exact"/>
              <w:rPr>
                <w:sz w:val="20"/>
                <w:szCs w:val="20"/>
                <w:color w:val="auto"/>
              </w:rPr>
            </w:pPr>
            <w:r>
              <w:rPr>
                <w:rFonts w:ascii="Arial" w:cs="Arial" w:eastAsia="Arial" w:hAnsi="Arial"/>
                <w:sz w:val="13"/>
                <w:szCs w:val="13"/>
                <w:b w:val="1"/>
                <w:bCs w:val="1"/>
                <w:color w:val="auto"/>
              </w:rPr>
              <w:t>Amount of Gain (Loss)</w:t>
            </w:r>
          </w:p>
        </w:tc>
        <w:tc>
          <w:tcPr>
            <w:tcW w:w="20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tcPr>
          <w:p>
            <w:pPr>
              <w:jc w:val="right"/>
              <w:ind w:right="364"/>
              <w:spacing w:after="0" w:line="119" w:lineRule="exact"/>
              <w:rPr>
                <w:sz w:val="20"/>
                <w:szCs w:val="20"/>
                <w:color w:val="auto"/>
              </w:rPr>
            </w:pPr>
            <w:r>
              <w:rPr>
                <w:rFonts w:ascii="Arial" w:cs="Arial" w:eastAsia="Arial" w:hAnsi="Arial"/>
                <w:sz w:val="13"/>
                <w:szCs w:val="13"/>
                <w:b w:val="1"/>
                <w:bCs w:val="1"/>
                <w:color w:val="auto"/>
              </w:rPr>
              <w:t>Location of Gain (Loss)</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4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Recognized in Income</w:t>
            </w:r>
          </w:p>
        </w:tc>
        <w:tc>
          <w:tcPr>
            <w:tcW w:w="200" w:type="dxa"/>
            <w:vAlign w:val="bottom"/>
          </w:tcPr>
          <w:p>
            <w:pPr>
              <w:spacing w:after="0"/>
              <w:rPr>
                <w:sz w:val="14"/>
                <w:szCs w:val="14"/>
                <w:color w:val="auto"/>
              </w:rPr>
            </w:pPr>
          </w:p>
        </w:tc>
        <w:tc>
          <w:tcPr>
            <w:tcW w:w="2300" w:type="dxa"/>
            <w:vAlign w:val="bottom"/>
          </w:tcPr>
          <w:p>
            <w:pPr>
              <w:jc w:val="right"/>
              <w:ind w:right="384"/>
              <w:spacing w:after="0"/>
              <w:rPr>
                <w:sz w:val="20"/>
                <w:szCs w:val="20"/>
                <w:color w:val="auto"/>
              </w:rPr>
            </w:pPr>
            <w:r>
              <w:rPr>
                <w:rFonts w:ascii="Arial" w:cs="Arial" w:eastAsia="Arial" w:hAnsi="Arial"/>
                <w:sz w:val="14"/>
                <w:szCs w:val="14"/>
                <w:b w:val="1"/>
                <w:bCs w:val="1"/>
                <w:color w:val="auto"/>
              </w:rPr>
              <w:t>Reclassified in Income</w:t>
            </w:r>
          </w:p>
        </w:tc>
        <w:tc>
          <w:tcPr>
            <w:tcW w:w="0" w:type="dxa"/>
            <w:vAlign w:val="bottom"/>
          </w:tcPr>
          <w:p>
            <w:pPr>
              <w:spacing w:after="0"/>
              <w:rPr>
                <w:sz w:val="1"/>
                <w:szCs w:val="1"/>
                <w:color w:val="auto"/>
              </w:rPr>
            </w:pPr>
          </w:p>
        </w:tc>
      </w:tr>
      <w:tr>
        <w:trPr>
          <w:trHeight w:val="195"/>
        </w:trPr>
        <w:tc>
          <w:tcPr>
            <w:tcW w:w="4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Commodity derivatives - crude oil</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right"/>
              <w:ind w:right="404"/>
              <w:spacing w:after="0" w:line="195" w:lineRule="exact"/>
              <w:rPr>
                <w:sz w:val="20"/>
                <w:szCs w:val="20"/>
                <w:color w:val="auto"/>
              </w:rPr>
            </w:pPr>
            <w:r>
              <w:rPr>
                <w:rFonts w:ascii="Arial" w:cs="Arial" w:eastAsia="Arial" w:hAnsi="Arial"/>
                <w:sz w:val="18"/>
                <w:szCs w:val="18"/>
                <w:color w:val="auto"/>
                <w:w w:val="88"/>
              </w:rPr>
              <w:t>Cost of sales - midstream</w:t>
            </w:r>
          </w:p>
        </w:tc>
        <w:tc>
          <w:tcPr>
            <w:tcW w:w="0" w:type="dxa"/>
            <w:vAlign w:val="bottom"/>
          </w:tcPr>
          <w:p>
            <w:pPr>
              <w:spacing w:after="0"/>
              <w:rPr>
                <w:sz w:val="1"/>
                <w:szCs w:val="1"/>
                <w:color w:val="auto"/>
              </w:rPr>
            </w:pPr>
          </w:p>
        </w:tc>
      </w:tr>
      <w:tr>
        <w:trPr>
          <w:trHeight w:val="230"/>
        </w:trPr>
        <w:tc>
          <w:tcPr>
            <w:tcW w:w="4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500" w:type="dxa"/>
            <w:vAlign w:val="bottom"/>
            <w:gridSpan w:val="2"/>
            <w:shd w:val="clear" w:color="auto" w:fill="CCEEFF"/>
          </w:tcPr>
          <w:p>
            <w:pPr>
              <w:jc w:val="right"/>
              <w:ind w:right="1484"/>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derivatives included in AOCI for the years ended July 31, 2020, 2019 and 2018 were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Gains and losses on derivatives included in AOCI</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Change in value of risk management commodity derivatives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30,231</w:t>
            </w:r>
          </w:p>
        </w:tc>
        <w:tc>
          <w:tcPr>
            <w:tcW w:w="0" w:type="dxa"/>
            <w:vAlign w:val="bottom"/>
          </w:tcPr>
          <w:p>
            <w:pPr>
              <w:spacing w:after="0"/>
              <w:rPr>
                <w:sz w:val="1"/>
                <w:szCs w:val="1"/>
                <w:color w:val="auto"/>
              </w:rPr>
            </w:pPr>
          </w:p>
        </w:tc>
      </w:tr>
      <w:tr>
        <w:trPr>
          <w:trHeight w:val="202"/>
        </w:trPr>
        <w:tc>
          <w:tcPr>
            <w:tcW w:w="5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Reclassification of (gains) losses on commodity hedges to cost of sales -</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propane and other gas liquids sales, net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(24,714)</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Reclassification of losses on interest rate hedges to interest expense</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Ferrellgas expects to reclassify net losses of approximately $2.2 million to earnings during the next 12 months. These net losses are expected to be offset by increased margins on propane sales commitments Ferrellgas has with its customers that qualify for the normal purchase normal sale exception.</w:t>
      </w:r>
    </w:p>
    <w:p>
      <w:pPr>
        <w:spacing w:after="0" w:line="184"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During the years ended July 31, 2020, 2019 and 2018, Ferrellgas had no reclassifications to operations resulting from discontinuance of any cash flow hedges arising from the probability of the original forecasted transactions not occurring within the originally specified period of time defined within the hedging relationship.</w:t>
      </w:r>
    </w:p>
    <w:p>
      <w:pPr>
        <w:spacing w:after="0" w:line="16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As of July 31, 2020, Ferrellgas had financial derivative contracts covering 4.0 million barrels of propane that were entered into as cash flow hedges of forward and forecasted purchases of propane.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credit risk</w:t>
      </w:r>
    </w:p>
    <w:p>
      <w:pPr>
        <w:spacing w:after="0" w:line="22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Ferrellgas is exposed to credit loss in the event of nonperformance by counterparties to derivative financial and commodity instruments. Ferrellgas’ counterparties principally consist of major energy companies and major U.S. financial institutions. Ferrellgas maintains credit policies with regard to its counterparties that it believes reduce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in the forms of letters of credit, parental guarantees or cash. Ferrellgas has concentrations of credit risk associated with derivative financial instruments held by certain derivative financial instrument counterparties. If these counterparties that make up the concentration failed to perform according to the terms of their contracts at July 31, 2020, the maximum amount of loss due to credit risk that Ferrellgas would incur, based upon the gross fair values of the derivative financial instruments, is zero.</w:t>
      </w:r>
    </w:p>
    <w:p>
      <w:pPr>
        <w:spacing w:after="0" w:line="168"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From time to time Ferrellgas enters into derivative contracts that have credit-risk-related contingent features which dictate credit limits based upon Ferrellgas’ debt rating. There were no open derivative contracts with credit-risk-related contingent features as of July 31, 2020.</w:t>
      </w:r>
    </w:p>
    <w:p>
      <w:pPr>
        <w:spacing w:after="0" w:line="180" w:lineRule="exact"/>
        <w:rPr>
          <w:sz w:val="20"/>
          <w:szCs w:val="20"/>
          <w:color w:val="auto"/>
        </w:rPr>
      </w:pPr>
    </w:p>
    <w:p>
      <w:pPr>
        <w:ind w:left="580" w:hanging="530"/>
        <w:spacing w:after="0"/>
        <w:tabs>
          <w:tab w:leader="none" w:pos="5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Ferrellgas has no employees and is managed and controlled by its general partner. Pursuant to Ferrellgas’ partnership agreements, the general partner is entitled to reimbursement for all direct and indirect expenses incurred 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payments it makes on behalf of Ferrellgas and all other necessary or appropriate expenses allocable to Ferrellgas or otherwise reasonably incurred by its general partner in connection with operating Ferrellgas’ business. These costs primarily include compensation and benefits paid to employees of the general partner who perform services on Ferrellgas’ behalf and are reported in the consolidated statements of operations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556"/>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260,427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256,190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additional discussions about transactions with the general partner and related parties in Note J – Partners’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deficit.</w:t>
      </w:r>
    </w:p>
    <w:p>
      <w:pPr>
        <w:spacing w:after="0" w:line="207" w:lineRule="exact"/>
        <w:rPr>
          <w:sz w:val="20"/>
          <w:szCs w:val="20"/>
          <w:color w:val="auto"/>
        </w:rPr>
      </w:pPr>
    </w:p>
    <w:p>
      <w:pPr>
        <w:ind w:left="600" w:hanging="550"/>
        <w:spacing w:after="0"/>
        <w:tabs>
          <w:tab w:leader="none" w:pos="6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Ferrellgas’ operations are subject to all operating hazards and risks normally incidental to handling, storing, transporting and otherwise providing for use by consumers of combustible liquids such as propane and, prior to the sales of midstream operations in fiscal 2018, crude oil. As a result, at any given time, Ferrellgas can be threatened with or named as a defendant in various lawsuits arising in the ordinary course of business. Other than as discussed below, Ferrellgas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w:t>
      </w:r>
    </w:p>
    <w:p>
      <w:pPr>
        <w:spacing w:after="0" w:line="178"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Ferrellgas has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Ferrellgas reached a settlement with the direct customers, pursuant to which it agreed to pay a total of $6.25 million to resolve all claims asserted by the putative direct purchaser class. With respect to the indirect customers, the district court exercised supplemental jurisdiction over the remaining state law claims, but then granted in part Ferrellgas’ pleadings-based motion and dismissed 11 of the 24 remaining state law claims. As a result, there are 13 remaining state law claims brought by a putative class of indirect customers. Ferrellgas believes it has strong defenses and intends to vigorously defend itself against these remaining claims. Ferrellgas does not believe loss is probable or reasonably estimable at this time related to the putative class action lawsuit.</w:t>
      </w:r>
    </w:p>
    <w:p>
      <w:pPr>
        <w:spacing w:after="0" w:line="38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Ferrellgas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Ferrellgas transferred assets out of JTS prior to the sale of the membership interest in JTS to Jamex Transfer Holdings, and that those transfers should be avoided so that the assets can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be used to satisfy the amount owed by JTS to Eddystone as a result of the arbitration. Eddystone also alleges that JTS was an “alter ego” of Bridger and Ferrellgas and that Bridger and Ferrellgas breached fiduciary duties owed to Eddystone as a creditor of JTS. Ferrellgas believes that Ferrellgas and Bridger have valid defenses to these claims and to Eddystone’s primary claim against JTS for breach of contract. The lawsuit does not specify a specific amount of damages that Eddystone is seeking; however, Ferrellgas believes that the amount of such damages, if ultimately owed to Eddystone, could be material to Ferrellgas. Ferrellgas intends to vigorously defend this claim. On August 24, 2017, Ferrellgas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Ferrellgas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debt-related commitments</w:t>
      </w:r>
    </w:p>
    <w:p>
      <w:pPr>
        <w:spacing w:after="0" w:line="225"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Ferrellgas has long and short-term payment obligations under agreements such as the indentures governing its senior notes. See Note I – Debt – for a description of these debt obligations and a schedule of future maturities.</w:t>
      </w:r>
    </w:p>
    <w:p>
      <w:pPr>
        <w:spacing w:after="0" w:line="349" w:lineRule="exact"/>
        <w:rPr>
          <w:sz w:val="20"/>
          <w:szCs w:val="20"/>
          <w:color w:val="auto"/>
        </w:rPr>
      </w:pPr>
    </w:p>
    <w:p>
      <w:pPr>
        <w:ind w:left="540" w:hanging="490"/>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Ferrellgas has no employees and is managed and controlled by its general partner. Ferrellgas assumes all liabilities, which include specific liabilities related to the following employee benefit plans for the benefit of the officers and employees of the general partner.</w:t>
      </w:r>
    </w:p>
    <w:p>
      <w:pPr>
        <w:spacing w:after="0" w:line="184"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Ferrell Companies makes contributions to the employee stock ownership trust (the “Trust”), which causes a portion of the shares of Ferrell Companies owned by the Trust to be allocated to employees’ accounts over time. The allocation of Ferrell Companies’ shares to employee accounts causes a non-cash compensation charge to be incurred by Ferrellgas, equivalent to the fair value of such shares allocated. This non-cash compensation charge is reported separately in Ferrellgas’ consolidated statements of operations and thus is excluded from operating and general and administrative expenses. The non-cash compensation charges were $2.9 million, $5.7 million and $13.9 million during fiscal 2020, 2019 and 2018, respectively. Ferrellgas is not obligated to fund or make contributions to the Trust.</w:t>
      </w:r>
    </w:p>
    <w:p>
      <w:pPr>
        <w:spacing w:after="0" w:line="166"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The general partner and its parent, Ferrell Companies, have a defined contribution 401(k) investment plan which covers substantially all employees. The plan, which qualifies under section 401(k) of the Internal Revenue Code, also provides for matching contributions under a cash or deferred arrangement based upon participant salaries and employee contributions to the plan. Matching contributions for fiscal 2020, 2019 and 2018 were $4.8 million, $4.6 million and $3.7 million, respectively.</w:t>
      </w:r>
    </w:p>
    <w:p>
      <w:pPr>
        <w:spacing w:after="0" w:line="18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general partner terminated its defined benefit plan on December 15, 2018 and distributed account balances to participants in the form of lump sum payments or annuity contracts in September, 2019. The defined benefit plan trust account was closed and all remaining funds were rolled into the Ferrell Companies, Inc. Employee Stock Ownership Trust as a plan contribution in December 2019. Prior to termination, this plan provided participants who were covered under a previously terminated plan with a guaranteed retirement benefit at least equal to the benefit they would have received under the prior terminated plan. Until July 31, 1999, benefits under the terminated plan were determined by years of credited service and salary levels. As of July 31, 1999, years of credited service and salary levels were frozen. The general partner’s prior funding policy for this plan was to contribute amounts deductible for Federal income tax purposes and invest the plan assets primarily in corporate stocks and bonds, U.S. Treasury bonds and short-term cash investments. During fiscal 2020, 2019 and 2018, other comprehensive income and other liabilities were adjusted by $(0.1) million, $(0.1) million and $0.1 million,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 w:hanging="510"/>
        <w:spacing w:after="0"/>
        <w:tabs>
          <w:tab w:leader="none" w:pos="5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unitholders’ interest</w:t>
      </w:r>
    </w:p>
    <w:p>
      <w:pPr>
        <w:spacing w:after="0" w:line="22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Ferrellgas Partners is currently restricted by its debt covenants from making distributions to common unitholders. See Note I – Debt – for details regarding these restrictions. Below is a calculation of the basic and diluted net loss per common unitholders’ interest in the consolidated statements of operations for the periods indicated. In accordance with guidance issued by the FASB regarding participating securities and the two-class method, Ferrellgas calculates net loss per common unitholders’ interest for each period presented according to distributions declared and participation rights in undistributed earnings, as if all of the earnings or loss for the period had been distributed. Due to the seasonality of Ferrellgas’ business, the dilutive effect of the two-class method typically impacts only the three months ended January 31. In periods with undistributed earnings above certain levels, the calculation according to the two-class method results in an increased allocation of undistributed earnings to the general partner and a dilution of the earnings to the limited partners as follows.</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Quarterly distribution per common unit</w:t>
            </w:r>
          </w:p>
        </w:tc>
        <w:tc>
          <w:tcPr>
            <w:tcW w:w="268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w w:val="96"/>
              </w:rPr>
              <w:t>Ratio of total distributions payable to:</w:t>
            </w:r>
          </w:p>
        </w:tc>
        <w:tc>
          <w:tcPr>
            <w:tcW w:w="0" w:type="dxa"/>
            <w:vAlign w:val="bottom"/>
          </w:tcPr>
          <w:p>
            <w:pPr>
              <w:spacing w:after="0"/>
              <w:rPr>
                <w:sz w:val="1"/>
                <w:szCs w:val="1"/>
                <w:color w:val="auto"/>
              </w:rPr>
            </w:pPr>
          </w:p>
        </w:tc>
      </w:tr>
      <w:tr>
        <w:trPr>
          <w:trHeight w:val="142"/>
        </w:trPr>
        <w:tc>
          <w:tcPr>
            <w:tcW w:w="444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93"/>
              </w:rPr>
              <w:t>Common unitholder</w:t>
            </w: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General partner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$0.56 to $0.63</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$0.64 to $0.82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76.8 %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$0.83 and above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There was not a dilutive effect resulting from this guidance on basic and diluted net earnings per common unitholders’ interest for fiscal 2020, 2019 and 2018.</w:t>
      </w:r>
    </w:p>
    <w:p>
      <w:pPr>
        <w:spacing w:after="0" w:line="17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In periods with net losses, the allocation of the net losses to the limited partners and the general partner will be determined based on the same allocation basis specified in Ferrellgas Partners’ partnership agreement that would apply to periods in which there were no undistributed earnings. Additionally, in periods with net losses, there are no dilutive securities.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575"/>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interest in net loss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units outstanding (in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97,152.7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97,152.7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97,152.7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unit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490"/>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data (unaudited)</w:t>
      </w:r>
    </w:p>
    <w:p>
      <w:pPr>
        <w:spacing w:after="0" w:line="229"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The following summarized unaudited quarterly data includes all adjustments (consisting only of normal recurring adjustments, with the exception of those items indicated below), which Ferrellgas considers necessary for a fair presentation. Due to the seasonality of the propane distribution business, first and fourth quarter Revenues, gross margin from propane and other gas liquids sales, Net earnings (loss) attributable to Ferrellgas Partners and common unitholders’ interest in net earnings (loss) are consistently less than the second and third quarter results. Other factors affecting the results of operations include competitive conditions, demand for product, timing of acquisitions, variations in the weather and fluctuations in propane prices. The sum of basic and diluted net earnings (loss) per common unitholders’ interest by quarter may not equal the basic and diluted net earnings (loss) per common unitholders’ interest for the year due to variations in the weighted average units outstanding used in computing such amounts.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 2020</w:t>
            </w: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First quarter</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Third quarter</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$ 293,214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510,833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412,130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Gross margin from propane and other gas liquids sales (a)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139,357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215,480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Net earnings (loss) attributable to Ferrellgas Partners, L.P.</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(45,344)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interest in net earnings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(44,891)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Basic and diluted net earnings (loss) per common unitholders’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378"/>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 2019</w:t>
            </w: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First quarter</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Third quarter</w:t>
            </w:r>
          </w:p>
        </w:tc>
        <w:tc>
          <w:tcPr>
            <w:tcW w:w="1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$ 352,309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573,377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479,625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Gross margin from propane and other gas liquids sales (a)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130,830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238,581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209,167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Net earnings (loss) attributable to Ferrellgas Partners, L.P.</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(57,015)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interest in net earnings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(56,445)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Basic and diluted net earnings (loss) per common unitholders’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378"/>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 2018</w:t>
            </w: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First quarter</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Third quarter</w:t>
            </w:r>
          </w:p>
        </w:tc>
        <w:tc>
          <w:tcPr>
            <w:tcW w:w="1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$ 454,655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515,810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Gross margin from propane and other gas liquids sales (a)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123,243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190,883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margin from midstream operations (c)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earnings (loss) (d)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(48,316)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earnings (loss) attributable to Ferrellgas Partners, L.P.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(47,915)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Common unitholders’ interest in net earnings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(47,436)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tcPr>
          <w:p>
            <w:pPr>
              <w:spacing w:after="0" w:line="201" w:lineRule="exact"/>
              <w:rPr>
                <w:sz w:val="20"/>
                <w:szCs w:val="20"/>
                <w:color w:val="auto"/>
              </w:rPr>
            </w:pPr>
            <w:r>
              <w:rPr>
                <w:rFonts w:ascii="Arial" w:cs="Arial" w:eastAsia="Arial" w:hAnsi="Arial"/>
                <w:sz w:val="18"/>
                <w:szCs w:val="18"/>
                <w:color w:val="auto"/>
                <w:w w:val="93"/>
              </w:rPr>
              <w:t>Basic and diluted net earnings (loss) per common unitholders’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(0.49)</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77" w:lineRule="auto"/>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Gross margin from “Propane and other gas liquids sales” represents “Revenues - propane and other gas liquids sales” less “Cost of sales – propane and other gas liquids sales.”</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loss on extinguishment of debt of $37.4 million in the third quarter of fiscal 2020.</w:t>
      </w:r>
    </w:p>
    <w:p>
      <w:pPr>
        <w:spacing w:after="0" w:line="225" w:lineRule="exact"/>
        <w:rPr>
          <w:rFonts w:ascii="Arial" w:cs="Arial" w:eastAsia="Arial" w:hAnsi="Arial"/>
          <w:sz w:val="18"/>
          <w:szCs w:val="18"/>
          <w:color w:val="auto"/>
        </w:rPr>
      </w:pPr>
    </w:p>
    <w:p>
      <w:pPr>
        <w:ind w:left="380" w:right="659" w:hanging="330"/>
        <w:spacing w:after="0" w:line="277" w:lineRule="auto"/>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Gross margin from “Midstream operations” represents “Revenues - midstream operations” less “Cost of sales - midstream operations.”</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asset impairment charges of $10.0 million in the second quarter of fiscal 2018.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 w:hanging="470"/>
        <w:spacing w:after="0"/>
        <w:tabs>
          <w:tab w:leader="none" w:pos="5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Ferrellgas has evaluated events and transactions occurring after the balance sheet date through the date Ferrellgas’ consolidated financial statements were issued and concluded that there were no events or transactions occurring during this period that required recognition or disclosure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Partners Finance Corp.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We have audited the accompanying balance sheets of Ferrellgas Partners Finance Corp. (a Delaware corporation) (the “Company”) as of July 31, 2020 and 2019, and the related statements of operations, stockholder’s equity, and cash flows for each of the three years in the period ended July 31, 2020, the related notes (collectively referred to as the “financial statements”). In our opinion, the financial statements present fairly, in all material respects, the financial position of the Company as of July 31, 2020 and 2019, and the results of its operations and its cash flows for each of the three years in the period ended July 31, 2020, in conformity with accounting principles generally accepted in the United States of America.</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7"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A of the financial statements, as of July 31, 2020, the Company’s parent company, Ferrellgas Partners, L.P. has $357.0 million in unsecured notes due June 15, 2020, which Ferrellgas Partners, L.P. failed to repay, that are classified as current in the consolidated financial statements of Ferrellgas Partners, L.P. Ferrellgas Partners, L.P.’s current liabilities exceeded its current assets by $546.0 million and its total liabilities exceeded its total assets by $1,208.3 million. The Company serves as co-issuer and co-obligor for the debt securities of Ferrellgas Partners, L.P. The Company does not have sufficient cash reserves or the ability to generate sufficient future cash flows to satisfy its obligations as co-obligor of the debt securities of Ferrellgas Partners, L.P. The Company’s business plan, which is also described in Note A, contemplates restructuring or refinancing its long-term arrangements and reducing outstanding indebtedness. The Company’s ability to achieve the foregoing elements of its business plan, which may be necessary to permit the realization of assets and satisfaction of liabilities in the ordinary course of business, is uncertain and raises substantial doubt about its ability to continue as a going concern. The financial statements do not include any adjustments that might result from the outcome of this uncertainty.</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15,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FERRELLGAS PARTNERS FINANCE CORP.</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 wholly-owned subsidiary of 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July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July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Cash</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Contingencies and commitments (Note B)</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Common stock, $1.00 par value; 2,000 shares authorized; 1,000 shares issued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outstanding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Arial" w:cs="Arial" w:eastAsia="Arial" w:hAnsi="Arial"/>
                <w:sz w:val="18"/>
                <w:szCs w:val="18"/>
                <w:color w:val="auto"/>
              </w:rPr>
              <w:t>Additional paid 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FERRELLGAS PARTNERS FINANCE CORP.</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 wholly-owned subsidiary of 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5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(2,115)</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FERRELLGAS PARTNERS FINANCE CORP.</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 wholly-owned subsidiary of 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300" w:type="dxa"/>
            <w:vAlign w:val="bottom"/>
            <w:gridSpan w:val="4"/>
            <w:vMerge w:val="restart"/>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4"/>
                <w:szCs w:val="14"/>
                <w:color w:val="auto"/>
              </w:rPr>
            </w:pPr>
          </w:p>
        </w:tc>
        <w:tc>
          <w:tcPr>
            <w:tcW w:w="130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paid in</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8"/>
              </w:rPr>
              <w:t>Dollars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2017</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25,055</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(25,055)</w:t>
            </w:r>
          </w:p>
        </w:tc>
        <w:tc>
          <w:tcPr>
            <w:tcW w:w="3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46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Capital contribution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Arial" w:cs="Arial" w:eastAsia="Arial" w:hAnsi="Arial"/>
                <w:sz w:val="18"/>
                <w:szCs w:val="18"/>
                <w:b w:val="1"/>
                <w:bCs w:val="1"/>
                <w:color w:val="auto"/>
              </w:rPr>
              <w:t>July 31, 2018</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29,020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8"/>
              </w:rPr>
              <w:t>(27,170)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1"/>
        </w:trPr>
        <w:tc>
          <w:tcPr>
            <w:tcW w:w="46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33,027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(31,169)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1"/>
        </w:trPr>
        <w:tc>
          <w:tcPr>
            <w:tcW w:w="46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Capital contribution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Arial" w:cs="Arial" w:eastAsia="Arial" w:hAnsi="Arial"/>
                <w:sz w:val="18"/>
                <w:szCs w:val="18"/>
                <w:b w:val="1"/>
                <w:bCs w:val="1"/>
                <w:color w:val="auto"/>
              </w:rPr>
              <w:t>July 31, 2020</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1,000</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38,846</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8"/>
              </w:rPr>
              <w:t>(36,996)</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1"/>
        </w:trPr>
        <w:tc>
          <w:tcPr>
            <w:tcW w:w="46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FERRELLGAS PARTNERS FINANCE CORP.</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 wholly-owned subsidiary of 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w w:val="94"/>
              </w:rPr>
              <w:t>For the year ended July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(5,827)</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(3,999)</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in operating activities</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Capital contribution</w:t>
            </w: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provided by financing activities</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FERRELLGAS PARTNERS FINANCE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wholly-owned subsidiary of Ferrellgas Partners,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hanging="410"/>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Formation</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Ferrellgas Partners Finance Corp. (the “Finance Corp.”), a Delaware corporation, was formed on March 28, 1996 and is a wholly-owned subsidiary of Ferrellgas Partners, L.P. (the “Partnership”).</w:t>
      </w:r>
    </w:p>
    <w:p>
      <w:pPr>
        <w:spacing w:after="0" w:line="170"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 Partnership contributed $1,000 to the Finance Corp. on April 8, 1996 in exchange for 1,000 shares of common stock.</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Finance Corp. has nominal assets, does not conduct any operations and has no employees.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continuity of operations, the realization of assets and the satisfaction of liabilities in the normal course of business. As discussed in Note B – Contingencies and commitments, the Finance Corp serves as co-issuer and co-obligor for debt securities of the Partnership. The Partnership has $357.0 million aggregate principal amount of unsecured senior notes due June 15, 2020, which the Partnership failed to repay, that are classified as current in its consolidated financial statements. These obligations are only reported on the Partnership’s consolidated balance sheet. The ability of the Partnership to restructure, refinance or otherwise satisfy these notes is uncertain considering the level of other outstanding indebtedness. Additionally, the Finance Corp. does not have sufficient cash reserves or the ability to generate sufficient future cash flows to satisfy its obligations as co-obligor of the debt securities of the Partnership. Given these concerns, we believe there is substantial doubt about the Finance Corp’s ability to continue as a going concern. The Partnership has engaged Moelis &amp; Company LLC as its financial advisor and the law firm of Squire Patton Boggs LLP to assist with the Partnership’s ongoing process to reduce existing debt and address its debt maturities. The outcome of the Partnership’s debt reduction strategy continues to remain uncertain.</w:t>
      </w:r>
    </w:p>
    <w:p>
      <w:pPr>
        <w:spacing w:after="0" w:line="182" w:lineRule="exact"/>
        <w:rPr>
          <w:sz w:val="20"/>
          <w:szCs w:val="20"/>
          <w:color w:val="auto"/>
        </w:rPr>
      </w:pPr>
    </w:p>
    <w:p>
      <w:pPr>
        <w:ind w:left="440" w:hanging="390"/>
        <w:spacing w:after="0"/>
        <w:tabs>
          <w:tab w:leader="none" w:pos="4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Finance Corp. serves as co-issuer and co-obligor for debt securities of the Partnership. The Finance Corp. is liable as co-issuer and co-obligor for the $357 million aggregate principal amount of the Partnership’s unsecured senior notes due June 15, 2020, which the Partnership failed to repay, and which obligation is only reported on the Partnership’s consolidated balance sheet.</w:t>
      </w:r>
    </w:p>
    <w:p>
      <w:pPr>
        <w:spacing w:after="0" w:line="183" w:lineRule="exact"/>
        <w:rPr>
          <w:sz w:val="20"/>
          <w:szCs w:val="20"/>
          <w:color w:val="auto"/>
        </w:rPr>
      </w:pPr>
    </w:p>
    <w:p>
      <w:pPr>
        <w:ind w:left="500" w:hanging="450"/>
        <w:spacing w:after="0"/>
        <w:tabs>
          <w:tab w:leader="none" w:pos="5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Income taxes have been computed separately as the Finance Corp. files its own income tax return. Deferred income taxes are provided as a result of temporary differences between financial and tax reporting using the asset/liability method. Deferred income taxes are recognized for the tax consequences of temporary differences between the financial statement carrying amounts and tax basis of existing assets and liabilities.</w:t>
      </w:r>
    </w:p>
    <w:p>
      <w:pPr>
        <w:spacing w:after="0" w:line="187"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Due to the inability of the Finance Corp. to utilize the deferred tax benefit of $7,606 associated with the net operating loss carryforward of $36,221 generated during and prior to fiscal 2020, a valuation allowance has been provided on the full amount of the deferred tax asset. Accordingly, there is no net deferred tax benefit for fiscal 2020, 2019 or 2018, and there is no net deferred tax asset as of July 31, 2020 and 2019. The net operating loss carryforwards generated during and after fiscal 2018 are carried forward indefinitely, but are limited to 80% of the taxable income in any one period. The net operating losses generated prior to July 31, 2018 are subject to prior tax law and will expire at various dates through July 31, 2037.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0"/>
        <w:spacing w:after="0"/>
        <w:tabs>
          <w:tab w:leader="none" w:pos="5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The Finance Corp. has evaluated events and transactions occurring after the balance sheet date through the date the Finance Corp.’s consolidated financial statements were issued, and concluded that there were no events or transactions occurring during this period that required recognition or disclosure in its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L.P.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60" w:right="219"/>
        <w:spacing w:after="0" w:line="288" w:lineRule="auto"/>
        <w:rPr>
          <w:sz w:val="20"/>
          <w:szCs w:val="20"/>
          <w:color w:val="auto"/>
        </w:rPr>
      </w:pPr>
      <w:r>
        <w:rPr>
          <w:rFonts w:ascii="Arial" w:cs="Arial" w:eastAsia="Arial" w:hAnsi="Arial"/>
          <w:sz w:val="16"/>
          <w:szCs w:val="16"/>
          <w:color w:val="auto"/>
        </w:rPr>
        <w:t>We have audited the accompanying consolidated balance sheets of Ferrellgas, L.P. (a Delaware limited partnership) and subsidiaries (the “Partnership”) as of July 31, 2020 and 2019, the related consolidated statements of operations, comprehensive income (loss), partners’ deficit, and cash flows for each of the three years in the period ended July 31, 2020, and the related notes and financial statement schedule (collectively referred to as the “financial statements”). In our opinion, the financial statements present fairly, in all material respects, the financial position of the Partnership as of July 31, 2020 and 2019, and the results of its operations and its cash flows for each of the three years in the period ended July 31, 2020, in conformity with accounting principles generally accepted in the United States of America.</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54"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The accompanying financial statements have been prepared assuming that the Partnership will continue as a going concern. As discussed in Note A of the financial statements, as of July 31, 2020, the Partnership has $500.0 million in unsecured notes due May 1, 2021 that are classified as current in the consolidated financial statements and its current liabilities exceeded its current assets by $169.8 million and its total liabilities exceeded its total assets by $832.0 million. The Partnership’s business plan, which is also described in Note A, contemplates restructuring or refinancing its long-term arrangements and reducing outstanding indebtedness. The Partnership’s ability to achieve the foregoing elements of its business plan, which may be necessary to permit the realization of assets and satisfaction of liabilities in the ordinary course of business, is uncertain and raises substantial doubt about its ability to continue as a going concern. The financial statements do not include any adjustments that might result from the outcome of this uncertainty.</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20"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97"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Partnership’s auditor since 2013.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15,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July 31, 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July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Cash and cash equivalents (including $95,759 and $0 of restricted cash at July 31, 2020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2019, 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w w:val="98"/>
              </w:rPr>
              <w:t>Accounts and notes receivable, net (including $103,703 and $106,145 of accounts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w w:val="97"/>
              </w:rPr>
              <w:t>receivable pledged as collateral at July 31, 2020 and 2019, respectively, and net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w w:val="98"/>
              </w:rPr>
              <w:t>allowance for doubtful accounts of $14,124 and $2,463 at July 31, 2020 and 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1,668,137</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LIABILITIES AND PARTNERS'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Collateralized note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502,095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148,136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713,520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1,646,396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Contingencies and commitments (Note 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Partners’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Limited partner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partners’ 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(831,991)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 and partners’ deficit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1,668,137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631"/>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Propane and other gas liquids sales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1,415,791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1,608,858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1,642,976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Midstream operations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1,497,826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1,684,392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2,073,142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Cost of sales - propane and other gas liquids sales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902,516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sales - midstream operations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Cost of sales - 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expense - personnel, vehicle, plant and other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Operating expense - equipment lease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General and administrative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employee stock ownership plan compensation charge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Asset impairments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asset sales and disposals</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553"/>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value of risk management derivatives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(48,184)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Reclassification of (gains) losses on derivatives to earnings,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Pension liability adjustment</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(35,380)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(37,430)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(64,897)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FERRELLGAS, L.P. AND SUBSIDIARIES</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CONSOLIDATED STATEMENTS OF PARTNERS’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Limited</w:t>
            </w:r>
          </w:p>
        </w:tc>
        <w:tc>
          <w:tcPr>
            <w:tcW w:w="160" w:type="dxa"/>
            <w:vAlign w:val="bottom"/>
          </w:tcPr>
          <w:p>
            <w:pPr>
              <w:spacing w:after="0"/>
              <w:rPr>
                <w:sz w:val="12"/>
                <w:szCs w:val="12"/>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1"/>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partners’</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partner</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partner</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31, 2017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(417,467)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(4,095)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(406,798)</w:t>
            </w:r>
          </w:p>
        </w:tc>
        <w:tc>
          <w:tcPr>
            <w:tcW w:w="0" w:type="dxa"/>
            <w:vAlign w:val="bottom"/>
          </w:tcPr>
          <w:p>
            <w:pPr>
              <w:spacing w:after="0"/>
              <w:rPr>
                <w:sz w:val="1"/>
                <w:szCs w:val="1"/>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w w:val="92"/>
              </w:rPr>
              <w:t>Contributions in connection with non-cash ESOP and stock and unit-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based compensation charges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(70,962)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(219,902)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(222,146)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b w:val="1"/>
                <w:bCs w:val="1"/>
                <w:color w:val="auto"/>
              </w:rPr>
              <w:t>Balance at July 31, 2018</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(693,896)</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20,733</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(680,078)</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Contributions in connection with non-cash ESOP compensation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(40,706)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(41,121)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31, 2019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(758,186)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(780,403)</w:t>
            </w:r>
          </w:p>
        </w:tc>
        <w:tc>
          <w:tcPr>
            <w:tcW w:w="0" w:type="dxa"/>
            <w:vAlign w:val="bottom"/>
          </w:tcPr>
          <w:p>
            <w:pPr>
              <w:spacing w:after="0"/>
              <w:rPr>
                <w:sz w:val="1"/>
                <w:szCs w:val="1"/>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w w:val="99"/>
              </w:rPr>
              <w:t>Contributions in connection with non-cash ESOP compensation</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charges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Cumulative adjustment for lease accounting standard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31, 2020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(821,462)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(831,991)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(49,764)</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Reconciliation of net loss to 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employee stock ownership plan compensation charge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asset sales and disposals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Unrealized gain on derivative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Exit costs associated with contracts - Midstream dispositions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200"/>
              <w:spacing w:after="0" w:line="201" w:lineRule="exact"/>
              <w:rPr>
                <w:sz w:val="20"/>
                <w:szCs w:val="20"/>
                <w:color w:val="auto"/>
              </w:rPr>
            </w:pPr>
            <w:r>
              <w:rPr>
                <w:rFonts w:ascii="Arial" w:cs="Arial" w:eastAsia="Arial" w:hAnsi="Arial"/>
                <w:sz w:val="18"/>
                <w:szCs w:val="18"/>
                <w:color w:val="auto"/>
                <w:w w:val="92"/>
              </w:rPr>
              <w:t>Changes in operating assets and liabilities, net of effects from business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and notes receivable, net of securitization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assets and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 acquisitions, net of cash acquired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(108,822)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of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80"/>
              <w:spacing w:after="0" w:line="201" w:lineRule="exact"/>
              <w:rPr>
                <w:sz w:val="20"/>
                <w:szCs w:val="20"/>
                <w:color w:val="auto"/>
              </w:rPr>
            </w:pPr>
            <w:r>
              <w:rPr>
                <w:rFonts w:ascii="Arial" w:cs="Arial" w:eastAsia="Arial" w:hAnsi="Arial"/>
                <w:sz w:val="18"/>
                <w:szCs w:val="18"/>
                <w:color w:val="auto"/>
              </w:rPr>
              <w:t>Cash payments to construct assets in connection with future lease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transactions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(37,042)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receipts in connection with leased vehicles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Distributions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Payments on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(285,857)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(212,920)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additions to (reductions in) short-term borrowings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Net additions to (reductions in) collateralized short-term borrowings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payments for principal portion of finance lease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paid for financing costs and other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265,674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322,709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333,755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00" w:right="2080"/>
        <w:spacing w:after="0" w:line="266" w:lineRule="auto"/>
        <w:rPr>
          <w:sz w:val="20"/>
          <w:szCs w:val="20"/>
          <w:color w:val="auto"/>
        </w:rPr>
      </w:pPr>
      <w:r>
        <w:rPr>
          <w:rFonts w:ascii="Arial" w:cs="Arial" w:eastAsia="Arial" w:hAnsi="Arial"/>
          <w:sz w:val="18"/>
          <w:szCs w:val="18"/>
          <w:b w:val="1"/>
          <w:bCs w:val="1"/>
          <w:color w:val="auto"/>
        </w:rPr>
        <w:t>FERRELLGAS, L.P. AND SUBSIDIARIES NOTES TO CONSOLIDATED FINANCIAL STATEMENTS (Dollars in thousands, unless otherwise designated)</w:t>
      </w:r>
    </w:p>
    <w:p>
      <w:pPr>
        <w:spacing w:after="0" w:line="176" w:lineRule="exact"/>
        <w:rPr>
          <w:sz w:val="20"/>
          <w:szCs w:val="20"/>
          <w:color w:val="auto"/>
        </w:rPr>
      </w:pPr>
    </w:p>
    <w:p>
      <w:pPr>
        <w:ind w:left="460" w:hanging="410"/>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Partnership organization and formation</w:t>
      </w:r>
    </w:p>
    <w:p>
      <w:pPr>
        <w:spacing w:after="0" w:line="229"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Ferrellgas, L.P. is a limited partnership that owns and operates propane distribution and related assets. Ferrellgas Partners, L.P. (“Ferrellgas Partners”), a publicly traded limited partnership, holds an approximate 99% limited partner interest in, and consolidates, Ferrellgas, L.P. Ferrellgas, Inc., a Delaware corporation and a wholly-owned subsidiary of Ferrell Companies, Inc., a Kansas corporation (“Ferrell Companies”), is the sole general partner of Ferrellgas Partners and one of three general partners of Ferrellgas, L.P. Ferrellgas, Inc. has retained an approximate 1% general partner economic interest in Ferrellgas Partners and also holds an approximate 1% general partner economic interest in Ferrellgas, L.P., representing an effective 2% general partner economic interest in Ferrellgas, L.P. on a combined basis.</w:t>
      </w:r>
    </w:p>
    <w:p>
      <w:pPr>
        <w:spacing w:after="0" w:line="166" w:lineRule="exact"/>
        <w:rPr>
          <w:sz w:val="20"/>
          <w:szCs w:val="20"/>
          <w:color w:val="auto"/>
        </w:rPr>
      </w:pPr>
    </w:p>
    <w:p>
      <w:pPr>
        <w:jc w:val="both"/>
        <w:ind w:left="60" w:right="139" w:firstLine="648"/>
        <w:spacing w:after="0" w:line="279" w:lineRule="auto"/>
        <w:rPr>
          <w:sz w:val="20"/>
          <w:szCs w:val="20"/>
          <w:color w:val="auto"/>
        </w:rPr>
      </w:pPr>
      <w:r>
        <w:rPr>
          <w:rFonts w:ascii="Arial" w:cs="Arial" w:eastAsia="Arial" w:hAnsi="Arial"/>
          <w:sz w:val="17"/>
          <w:szCs w:val="17"/>
          <w:color w:val="auto"/>
        </w:rPr>
        <w:t>As the sole general partner of Ferrellgas Partners, Ferrellgas, Inc. performs all management functions required by Ferrellgas Partners. Ferrellgas Partners and Ferrellgas, L.P., collectively referred to as “Ferrellgas,” are governed by their respective partnership agreements. These agreements contain specific provisions for the allocation of net earnings and loss to each of the partners for purposes of maintaining the partner capital accounts.</w:t>
      </w:r>
    </w:p>
    <w:p>
      <w:pPr>
        <w:spacing w:after="0" w:line="171"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April 24, 2020, Ferrellgas Partners, the sole limited partner of Ferrellgas, L.P., and Ferrellgas, Inc., the then-sole general partner of the Ferrellgas, L.P., amended and restated the partnership agreement of Ferrellgas, L.P. in order to, among other things, provide for the admission of two additional general partners. On April 27, 2020, Ferrellgas GP II, LLC and Ferrellgas GP III, LLC, each a Delaware limited liability company and a wholly-owned subsidiary of Ferrell Companies, were formed and subsequently admitted as additional general partners of Ferrellgas, L.P. As the general partners of Ferrellgas, L.P., Ferrellgas, Inc., Ferrellgas GP II, LLC and Ferrellgas GP III, LLC each have an equal vote and all general partner matters of Ferrellgas, L.P. are determined by the vote or consent of a majority of such entities. The general partners perform all management functions required by Ferrellgas, L.P. The general partner interests held by Ferrellgas GP II, LLC and Ferrellgas GP III, LLC are strictly voting and non-economic. Unless contractually provided for, creditors of Ferrellgas, L.P. have no recourse with regards to Ferrellgas Partners.</w:t>
      </w:r>
    </w:p>
    <w:p>
      <w:pPr>
        <w:spacing w:after="0" w:line="168"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The term “general partner” (i) with respect to Ferrellgas Partners refers to Ferrellgas, Inc. and (ii) with respect to Ferrellgas, L.P. refers to (a) Ferrellgas, Inc., in the case of any economic general partner interest and (b) Ferrellgas, Inc., Ferrellgas GP II, LLC and Ferrellgas GP III, LLC, collectively, in the case of any voting general partner interest.</w:t>
      </w:r>
    </w:p>
    <w:p>
      <w:pPr>
        <w:spacing w:after="0" w:line="14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Ferrellgas, L.P. owns a 100% equity interest in Ferrellgas Finance Corp., whose only business activity is to act as the co-issuer and co-obligor of debt issued by Ferrellgas, L.P.</w:t>
      </w:r>
    </w:p>
    <w:p>
      <w:pPr>
        <w:spacing w:after="0" w:line="17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Ferrellgas, L.P. is primarily engaged in the retail distribution of propane and related equipment sales. The propane distribution market is seasonal because propane is used primarily for heating in residential and commercial buildings. Ferrellgas, L.P. serves residential, industrial/commercial, portable tank exchange, agricultural, wholesale and other customers in all 50 states, the District of Columbia, and Puerto Rico.</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continuity of operations, the realization of assets and the satisfaction of liabilities in the normal course of business. Ferrellgas, L.P. has $500.0 million in unsecured notes due May 1, 2021, that are classified as current in its consolidated financial statements. Additionally, Ferrellgas Partners has $357.0 million in unsecured notes due June 15, 2020, which Ferrellgas Partners failed to repay, that are classified as current in its consolidated financial statements. Ferrellgas Partners’ ability to restructure, refinance or otherwise satisfy these notes is directly impacted by the cash flows of Ferrellgas, L.P. The ability of Ferrellgas Partners to restructure or refinance these notes is uncertain considering the level of other outstanding indebtedness. Given these concerns, Ferrellgas Partners believes there is substantial doubt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about Ferrellgas, L.P.’s ability to continue as a going concern. Ferrellgas has engaged Moelis &amp; Company LLC as its financial advisor and the law firm of Squire Patton Boggs LLP to assist in its ongoing process to reduce existing debt and address its debt maturities. The outcome of Ferrellgas’ debt reduction strategy continues to remain uncertain. Additionally, see Note I – Debt below for further discussion of the outstanding debt.</w:t>
      </w:r>
    </w:p>
    <w:p>
      <w:pPr>
        <w:spacing w:after="0" w:line="183" w:lineRule="exact"/>
        <w:rPr>
          <w:sz w:val="20"/>
          <w:szCs w:val="20"/>
          <w:color w:val="auto"/>
        </w:rPr>
      </w:pPr>
    </w:p>
    <w:p>
      <w:pPr>
        <w:ind w:left="440" w:hanging="390"/>
        <w:spacing w:after="0"/>
        <w:tabs>
          <w:tab w:leader="none" w:pos="4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ind w:left="700" w:right="99" w:hanging="326"/>
        <w:spacing w:after="0" w:line="269" w:lineRule="auto"/>
        <w:tabs>
          <w:tab w:leader="none" w:pos="700" w:val="left"/>
        </w:tabs>
        <w:numPr>
          <w:ilvl w:val="1"/>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Accounting estimates: </w:t>
      </w:r>
      <w:r>
        <w:rPr>
          <w:rFonts w:ascii="Arial" w:cs="Arial" w:eastAsia="Arial" w:hAnsi="Arial"/>
          <w:sz w:val="17"/>
          <w:szCs w:val="17"/>
          <w:color w:val="auto"/>
        </w:rPr>
        <w:t>The preparation of financial statements in conformity with accounting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doubtful accounts, fair value of reporting units, recoverability of long-lived assets, assumptions used to value business combinations, determination of incremental borrowing rate used to measure right-of-use asset and lease liability, fair values of derivative contracts and stock-based compensation calculations.</w:t>
      </w:r>
    </w:p>
    <w:p>
      <w:pPr>
        <w:spacing w:after="0" w:line="178" w:lineRule="exact"/>
        <w:rPr>
          <w:rFonts w:ascii="Arial" w:cs="Arial" w:eastAsia="Arial" w:hAnsi="Arial"/>
          <w:sz w:val="17"/>
          <w:szCs w:val="17"/>
          <w:b w:val="1"/>
          <w:bCs w:val="1"/>
          <w:color w:val="auto"/>
        </w:rPr>
      </w:pPr>
    </w:p>
    <w:p>
      <w:pPr>
        <w:ind w:left="700" w:right="159" w:hanging="326"/>
        <w:spacing w:after="0" w:line="273" w:lineRule="auto"/>
        <w:tabs>
          <w:tab w:leader="none" w:pos="700" w:val="left"/>
        </w:tabs>
        <w:numPr>
          <w:ilvl w:val="1"/>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present the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position, results of operations and cash flows of Ferrellgas, L.P. and its subsidiaries after elimination of all intercompany accounts and transactions. Ferrellgas, L.P. consolidates the following wholly-owned entities: Bridger Logistics, LLC, Sable Environmental, LLC, Sable SWD 2, LLC, Blue Rhino Global Sourcing, Inc., Blue Rhino Canada, Inc., Ferrellgas Real Estate, Inc., Ferrellgas Finance Corp. and Ferrellgas Receivables, LLC (“Ferrellgas Receivables”), a special purpose entity that has agreements with Ferrellgas, L.P. to securitize, on an ongoing basis, a portion of its trade accounts receivable.</w:t>
      </w:r>
    </w:p>
    <w:p>
      <w:pPr>
        <w:spacing w:after="0" w:line="175" w:lineRule="exact"/>
        <w:rPr>
          <w:rFonts w:ascii="Arial" w:cs="Arial" w:eastAsia="Arial" w:hAnsi="Arial"/>
          <w:sz w:val="17"/>
          <w:szCs w:val="17"/>
          <w:b w:val="1"/>
          <w:bCs w:val="1"/>
          <w:color w:val="auto"/>
        </w:rPr>
      </w:pPr>
    </w:p>
    <w:p>
      <w:pPr>
        <w:ind w:left="700"/>
        <w:spacing w:after="0"/>
        <w:rPr>
          <w:rFonts w:ascii="Arial" w:cs="Arial" w:eastAsia="Arial" w:hAnsi="Arial"/>
          <w:sz w:val="17"/>
          <w:szCs w:val="17"/>
          <w:b w:val="1"/>
          <w:bCs w:val="1"/>
          <w:color w:val="auto"/>
        </w:rPr>
      </w:pPr>
      <w:r>
        <w:rPr>
          <w:rFonts w:ascii="Arial" w:cs="Arial" w:eastAsia="Arial" w:hAnsi="Arial"/>
          <w:sz w:val="18"/>
          <w:szCs w:val="18"/>
          <w:color w:val="auto"/>
        </w:rPr>
        <w:t>Certain prior-year amounts have been reclassified to conform to the current-year presentation.</w:t>
      </w:r>
    </w:p>
    <w:p>
      <w:pPr>
        <w:spacing w:after="0" w:line="221" w:lineRule="exact"/>
        <w:rPr>
          <w:rFonts w:ascii="Arial" w:cs="Arial" w:eastAsia="Arial" w:hAnsi="Arial"/>
          <w:sz w:val="17"/>
          <w:szCs w:val="17"/>
          <w:b w:val="1"/>
          <w:bCs w:val="1"/>
          <w:color w:val="auto"/>
        </w:rPr>
      </w:pPr>
    </w:p>
    <w:p>
      <w:pPr>
        <w:ind w:left="700" w:right="299" w:hanging="326"/>
        <w:spacing w:after="0" w:line="303" w:lineRule="auto"/>
        <w:tabs>
          <w:tab w:leader="none" w:pos="700" w:val="left"/>
        </w:tabs>
        <w:numPr>
          <w:ilvl w:val="1"/>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Ferrellgas, L.P. measures certain of its assets and liabilities at fair value,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as the price that would be received to sell an asset or paid to transfer a liability in an orderly transaction between market participants – in either the principal market or the most advantageous market. The principal market is the market with the greatest level of activity and volume for the asset or liability.</w:t>
      </w:r>
    </w:p>
    <w:p>
      <w:pPr>
        <w:spacing w:after="0" w:line="15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common framework for measuring fair value utilizes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84" w:lineRule="exact"/>
        <w:rPr>
          <w:sz w:val="20"/>
          <w:szCs w:val="20"/>
          <w:color w:val="auto"/>
        </w:rPr>
      </w:pPr>
    </w:p>
    <w:p>
      <w:pPr>
        <w:ind w:left="1020" w:hanging="322"/>
        <w:spacing w:after="0"/>
        <w:tabs>
          <w:tab w:leader="none" w:pos="10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25" w:lineRule="exact"/>
        <w:rPr>
          <w:rFonts w:ascii="Arial" w:cs="Arial" w:eastAsia="Arial" w:hAnsi="Arial"/>
          <w:sz w:val="18"/>
          <w:szCs w:val="18"/>
          <w:color w:val="auto"/>
        </w:rPr>
      </w:pPr>
    </w:p>
    <w:p>
      <w:pPr>
        <w:ind w:left="1020" w:right="179" w:hanging="322"/>
        <w:spacing w:after="0" w:line="263" w:lineRule="auto"/>
        <w:tabs>
          <w:tab w:leader="none" w:pos="10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Level 2: Quoted prices in active markets for similar assets or liabilities; quoted prices for identical or similar instruments in markets that are not active; and model-derived valuations in which all significant inputs are observable in active markets.</w:t>
      </w:r>
    </w:p>
    <w:p>
      <w:pPr>
        <w:spacing w:after="0" w:line="183" w:lineRule="exact"/>
        <w:rPr>
          <w:rFonts w:ascii="Arial" w:cs="Arial" w:eastAsia="Arial" w:hAnsi="Arial"/>
          <w:sz w:val="18"/>
          <w:szCs w:val="18"/>
          <w:color w:val="auto"/>
        </w:rPr>
      </w:pPr>
    </w:p>
    <w:p>
      <w:pPr>
        <w:ind w:left="1020" w:right="959" w:hanging="322"/>
        <w:spacing w:after="0" w:line="277" w:lineRule="auto"/>
        <w:tabs>
          <w:tab w:leader="none" w:pos="10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166" w:lineRule="exact"/>
        <w:rPr>
          <w:rFonts w:ascii="Arial" w:cs="Arial" w:eastAsia="Arial" w:hAnsi="Arial"/>
          <w:sz w:val="18"/>
          <w:szCs w:val="18"/>
          <w:color w:val="auto"/>
        </w:rPr>
      </w:pPr>
    </w:p>
    <w:p>
      <w:pPr>
        <w:ind w:left="700" w:right="359" w:hanging="326"/>
        <w:spacing w:after="0" w:line="277" w:lineRule="auto"/>
        <w:tabs>
          <w:tab w:leader="none" w:pos="70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 Accounts receivable are reported on the consolidated balance sheets at the gross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amount adjusted for an allowance for doubtful accounts. Accounts receivable that are acquired are initially recorded at fair value on the date of acquisition. Provisions for uncollectible accounts are established based upon our collection experience and the assessment of the collectability of specific amounts. Accounts receivable are written off in the period in which the receivable is deemed uncollectible.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639" w:hanging="326"/>
        <w:spacing w:after="0" w:line="266" w:lineRule="auto"/>
        <w:tabs>
          <w:tab w:leader="none" w:pos="7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securitization: </w:t>
      </w:r>
      <w:r>
        <w:rPr>
          <w:rFonts w:ascii="Arial" w:cs="Arial" w:eastAsia="Arial" w:hAnsi="Arial"/>
          <w:sz w:val="18"/>
          <w:szCs w:val="18"/>
          <w:color w:val="auto"/>
        </w:rPr>
        <w:t>Through its wholly-owned and consolidated subsidiary Ferrellgas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Ferrellgas, L.P. has agreements to securitize, on an ongoing basis, substantially all of its trade accounts receivable.</w:t>
      </w:r>
    </w:p>
    <w:p>
      <w:pPr>
        <w:spacing w:after="0" w:line="175" w:lineRule="exact"/>
        <w:rPr>
          <w:rFonts w:ascii="Arial" w:cs="Arial" w:eastAsia="Arial" w:hAnsi="Arial"/>
          <w:sz w:val="18"/>
          <w:szCs w:val="18"/>
          <w:b w:val="1"/>
          <w:bCs w:val="1"/>
          <w:color w:val="auto"/>
        </w:rPr>
      </w:pPr>
    </w:p>
    <w:p>
      <w:pPr>
        <w:ind w:left="700" w:right="359" w:hanging="326"/>
        <w:spacing w:after="0" w:line="282" w:lineRule="auto"/>
        <w:tabs>
          <w:tab w:leader="none" w:pos="7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using weighted average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actual cost methods.</w:t>
      </w:r>
    </w:p>
    <w:p>
      <w:pPr>
        <w:spacing w:after="0" w:line="161" w:lineRule="exact"/>
        <w:rPr>
          <w:rFonts w:ascii="Arial" w:cs="Arial" w:eastAsia="Arial" w:hAnsi="Arial"/>
          <w:sz w:val="18"/>
          <w:szCs w:val="18"/>
          <w:b w:val="1"/>
          <w:bCs w:val="1"/>
          <w:color w:val="auto"/>
        </w:rPr>
      </w:pPr>
    </w:p>
    <w:p>
      <w:pPr>
        <w:jc w:val="both"/>
        <w:ind w:left="700" w:right="199" w:hanging="326"/>
        <w:spacing w:after="0" w:line="286" w:lineRule="auto"/>
        <w:tabs>
          <w:tab w:leader="none" w:pos="70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less accumulated depreciation.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for maintenance and routine repairs are expensed as incurred. Ferrellgas, L.P. capitalizes computer software, equipment replacement and betterment expenditures that upgrade, replace or completely rebuild major mechanical components and extend the original useful life of the equipment. Depreciation is calculated using the straight-line method based on the estimated useful lives of the assets ranging from two to 30 years.</w:t>
      </w:r>
    </w:p>
    <w:p>
      <w:pPr>
        <w:spacing w:after="0" w:line="2" w:lineRule="exact"/>
        <w:rPr>
          <w:rFonts w:ascii="Arial" w:cs="Arial" w:eastAsia="Arial" w:hAnsi="Arial"/>
          <w:sz w:val="16"/>
          <w:szCs w:val="16"/>
          <w:b w:val="1"/>
          <w:bCs w:val="1"/>
          <w:color w:val="auto"/>
        </w:rPr>
      </w:pPr>
    </w:p>
    <w:p>
      <w:pPr>
        <w:ind w:left="700" w:right="79"/>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Ferrellgas, L.P., using its best estimates based on reasonable and supportable assumptions and projections, tests long-lived assets for impairment whenever events or changes in circumstances indicate that the carrying amount of its assets or asset groups might not be recoverable. The recoverability tests for property, plant and equipment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L.P. management’s plans. If the carrying value exceeds the expected undiscounted future cash flows, an impairment loss is recognized for the difference between the estimated fair market value and the carrying value of the asset group.</w:t>
      </w:r>
    </w:p>
    <w:p>
      <w:pPr>
        <w:spacing w:after="0" w:line="168" w:lineRule="exact"/>
        <w:rPr>
          <w:rFonts w:ascii="Arial" w:cs="Arial" w:eastAsia="Arial" w:hAnsi="Arial"/>
          <w:sz w:val="16"/>
          <w:szCs w:val="16"/>
          <w:b w:val="1"/>
          <w:bCs w:val="1"/>
          <w:color w:val="auto"/>
        </w:rPr>
      </w:pPr>
    </w:p>
    <w:p>
      <w:pPr>
        <w:ind w:left="700" w:right="119" w:hanging="326"/>
        <w:spacing w:after="0" w:line="287" w:lineRule="auto"/>
        <w:tabs>
          <w:tab w:leader="none" w:pos="70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Ferrellgas, L.P. records goodwill as the excess of the cost of acquisitions over the fair value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net assets at the date of acquisition. Ferrellgas, L.P. tests goodwill for impairment annually during the second quarter or more frequently if events or changes in circumstances indicate that it is more likely than not the fair value of a reporting unit is less than the carrying value. Ferrellgas, L.P. has determined that it has two reporting units for goodwill impairment testing purposes. As of July 31, 2020, one of these reporting units contains goodwill that is subject to at least an annual assessment for impairment by applying a fair-value-based test. Under this test, the carrying value of each reporting unit is determined by assigning the assets and liabilities, including the existing goodwill and intangible assets, to those reporting units as of the date of the evaluation on a specific identification basis. To the extent a reporting unit’s carrying value exceeds its fair value, the reporting unit’s goodwill is impaired. The amount of impairment would be equal to the lesser of the excess of reporting unit carrying value over its fair value and the reporting unit’s recorded amount of goodwill. Ferrellgas, L.P. completed its most recent annual goodwill impairment test on January 31, 2020 and did not incur an impairment loss.</w:t>
      </w:r>
    </w:p>
    <w:p>
      <w:pPr>
        <w:spacing w:after="0" w:line="167" w:lineRule="exact"/>
        <w:rPr>
          <w:rFonts w:ascii="Arial" w:cs="Arial" w:eastAsia="Arial" w:hAnsi="Arial"/>
          <w:sz w:val="16"/>
          <w:szCs w:val="16"/>
          <w:b w:val="1"/>
          <w:bCs w:val="1"/>
          <w:color w:val="auto"/>
        </w:rPr>
      </w:pPr>
    </w:p>
    <w:p>
      <w:pPr>
        <w:ind w:left="700" w:right="99" w:hanging="326"/>
        <w:spacing w:after="0" w:line="286" w:lineRule="auto"/>
        <w:tabs>
          <w:tab w:leader="none" w:pos="70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Intangible assets with finite useful lives, consisting primarily of customer related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non-compete agreements, permits, favorable lease arrangements and patented technology are stated at cost, net of accumulated amortization calculated using the straight-line method over periods ranging from two to 15 years. When necessary, intangible assets’ useful lives are revised and the impact on amortization reflected on a prospective basis. Trade names and trademarks have indefinite lives, are not amortized, and are stated at cost. Ferrellgas, L.P. tests finite-lived intangible assets for impairment when events or changes in circumstances indicate that the carrying amount of these assets or asset groups might not be recoverable. Ferrellgas, L.P. tests indefinite-lived intangible assets for impairment annually on January 31 or more frequently if circumstances dictate. The recoverability tests for definite-lived intangible assets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L.P. management’s plans. If the carrying value exceeds the expected undiscounted future cash flows, an impairment loss is recognized for the difference between the estimated fair market value and the carrying value of the asset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Commodity and Transportation Fuel Price Risk.</w:t>
      </w:r>
    </w:p>
    <w:p>
      <w:pPr>
        <w:spacing w:after="0" w:line="225"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Ferrellgas, L.P.’s overall objective for entering into commodity based derivative contracts, including commodity options and swaps, is to hedge a portion of its exposure to market fluctuations in propane, gasoline and diesel prices.</w:t>
      </w:r>
    </w:p>
    <w:p>
      <w:pPr>
        <w:spacing w:after="0" w:line="124"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Ferrellgas, L.P.’s risk management activities primarily attempt to mitigate price risks related to the purchase, storage, transport and sale of propane generally in the contract and spot markets from major domestic energy companies on a short-term basis. Ferrellgas, L.P attempts to mitigate these price risks through the use of financial derivative instruments and forward propane purchase and sales contracts. Additionally, from time to time Ferrellgas, L.P.’s risk management activities attempt to mitigate price risks related to the purchase of gasoline and diesel fuel for use in the transport of propane from retail fueling stations through the use of financial derivative instruments.</w:t>
      </w:r>
    </w:p>
    <w:p>
      <w:pPr>
        <w:spacing w:after="0" w:line="178"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Ferrellgas, L.P.’s risk management strategy involves taking positions in the forward or financial markets that are equal and opposite to Ferrellgas, L.P.’s positions in the physical products market in order to minimize the risk of financial loss from an adverse price change. This risk management strategy is successful when Ferrellgas, L.P.’s gains or losses in the physical product markets are offset by its losses or gains in the forward or financial markets. These propane related financial derivatives are designated as cash flow hedges. The gasoline and diesel related financial derivatives have not historically been formally designated and documented as a hedge of exposure to fluctuations in the market price of fuel.</w:t>
      </w:r>
    </w:p>
    <w:p>
      <w:pPr>
        <w:spacing w:after="0" w:line="16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Ferrellgas, L.P.’s risk management activities may include the use of financial derivative instruments including, but not limited to, futures, swaps, and options to seek protection from adverse price movements and to minimize potential losses. Ferrellgas, L.P. enters into these financial derivative instruments primarily with brokers who are clearing members with the Intercontinental Exchange or the Chicago Mercantile Exchange and, to a lesser extent, directly with third parties in the over-the-counter market. All of Ferrellgas, L.P.’s financial derivative instruments are reported on the consolidated balance sheets at fair value.</w:t>
      </w:r>
    </w:p>
    <w:p>
      <w:pPr>
        <w:spacing w:after="0" w:line="192"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Ferrellgas, L.P. also enters into forward propane purchase and sales contracts with counterparties. These forward contracts qualify for the normal purchase normal sales exception within GAAP guidance and are therefore not recorded on Ferrellgas, L.P.’s financial statements until settled.</w:t>
      </w:r>
    </w:p>
    <w:p>
      <w:pPr>
        <w:spacing w:after="0" w:line="184" w:lineRule="exact"/>
        <w:rPr>
          <w:sz w:val="20"/>
          <w:szCs w:val="20"/>
          <w:color w:val="auto"/>
        </w:rPr>
      </w:pPr>
    </w:p>
    <w:p>
      <w:pPr>
        <w:ind w:left="60" w:right="139" w:firstLine="648"/>
        <w:spacing w:after="0" w:line="285" w:lineRule="auto"/>
        <w:rPr>
          <w:sz w:val="20"/>
          <w:szCs w:val="20"/>
          <w:color w:val="auto"/>
        </w:rPr>
      </w:pPr>
      <w:r>
        <w:rPr>
          <w:rFonts w:ascii="Arial" w:cs="Arial" w:eastAsia="Arial" w:hAnsi="Arial"/>
          <w:sz w:val="16"/>
          <w:szCs w:val="16"/>
          <w:color w:val="auto"/>
        </w:rPr>
        <w:t>On the date that derivative contracts are entered into, other than those designated as normal purchases or normal sales, Ferrellgas, L.P. makes a determination as to whether the derivative instrument qualifies for designation as a hedge. These financial instruments are formally designated as a hedge of a specific underlying exposure and that designation, as well as the risk management objectives and strategies for undertaking the hedge transaction are documented. Because of the high degree of correlation between the hedging instrument and the underlying exposure being hedged, fluctuations in the value of the derivative instrument are generally offset by changes in the anticipated cash flows of the underlying exposure being hedged. Since the fair value of these derivatives fluctuates over their contractual lives, their fair value amounts should not be viewed in isolation, but rather in relation to the anticipated cash flows of the underlying hedged transaction and the overall reduction in Ferrellgas, L.P.’s risk relating to adverse fluctuations in propane prices. Ferrellgas, L.P. formally assesses, both at inception and at least quarterly thereafter, whether the financial instruments that are used in hedging transactions are effective at offsetting changes in the anticipated cash flows of the related underlying exposures. Any ineffective portion of a financial instrument’s change in fair value is recognized in “Cost of product sold - propane and other gas liquids sales” in the consolidated statements of operations. Financial instruments formally designated and documented as a hedge of a specific underlying exposure are recorded gross at fair value as either “Prepaid expenses and other current assets”, “Other assets, net”, “Other current liabilities” or “Other liabilities” on the consolidated balance sheets with changes in fair value reported in other comprehensive income.</w:t>
      </w:r>
    </w:p>
    <w:p>
      <w:pPr>
        <w:spacing w:after="0" w:line="176"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Financial instruments not formally designated and documented as a hedge of a specific underlying exposure are recorded at fair value as “Prepaid expenses and other current assets”, “Other assets, net”, “Other current liabilities”, 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7" w:name="page168"/>
    <w:bookmarkEnd w:id="1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“Other liabilities” on the consolidated balance sheets with changes in fair value reported in “Operating expense” on the consolidated statements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Fluctuations in interest rates subject Ferrellgas, L.P. to interest rate risk. Decreases in interest rates increase the fair value of Ferrellgas, L.P.’s fixed rate debt, while increases in interest rates subject Ferrellgas, L.P. to the risk of increased interest expense related to its variable rate borrowings.</w:t>
      </w:r>
    </w:p>
    <w:p>
      <w:pPr>
        <w:spacing w:after="0" w:line="184"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Ferrellgas, L.P. may enter into fair value hedges to help reduce its fixed interest rate risk. Interest rate swaps may be used to hedge the exposure to changes in the fair value of fixed rate debt due to changes in interest rates. Fixed rate debt that has been designated as being hedged is adjusted to offset the change in the fair value of interest rate derivatives that are fair value hedges, which are classified as “Prepaid expenses and other current assets”, “Other assets, net”, Other current liabilities” or as “Other liabilities” on the consolidated balance sheets. Changes in the fair value of fixed rate debt and any related fair value hedges are recognized as they occur in “Interest expense” on the consolidated statements of operations.</w:t>
      </w:r>
    </w:p>
    <w:p>
      <w:pPr>
        <w:spacing w:after="0" w:line="164"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Ferrellgas, L.P. may enter into cash flow hedges to help reduce its variable interest rate risk. Interest rate swaps are used to hedge the risk associated with rising interest rates and their effect on forecasted interest payments related to variable rate borrowings. These interest rate swaps are designated as cash flow hedges. Thus, the effective portions of changes in the fair value of the hedges are recorded in “Prepaid expenses and other current assets”, “Other assets, net”, “Other current liabilities” or as “Other liabilities” with an offsetting entry to “Other comprehensive income” at interim periods and are subsequently recognized as interest expense in the consolidated statement of operations when the forecasted transaction impacts earnings. Changes in the fair value of any cash flow hedges that are considered ineffective are recognized as interest expense on the consolidated statements of operations as they occur.</w:t>
      </w:r>
    </w:p>
    <w:p>
      <w:pPr>
        <w:spacing w:after="0" w:line="161" w:lineRule="exact"/>
        <w:rPr>
          <w:sz w:val="20"/>
          <w:szCs w:val="20"/>
          <w:color w:val="auto"/>
        </w:rPr>
      </w:pPr>
    </w:p>
    <w:p>
      <w:pPr>
        <w:ind w:left="820" w:right="79" w:hanging="446"/>
        <w:spacing w:after="0" w:line="309" w:lineRule="auto"/>
        <w:tabs>
          <w:tab w:leader="none" w:pos="820"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Revenues from Ferrellgas, L.P.’s propane operations and related equipment sales segment</w:t>
      </w:r>
      <w:r>
        <w:rPr>
          <w:rFonts w:ascii="Arial" w:cs="Arial" w:eastAsia="Arial" w:hAnsi="Arial"/>
          <w:sz w:val="15"/>
          <w:szCs w:val="15"/>
          <w:b w:val="1"/>
          <w:bCs w:val="1"/>
          <w:color w:val="auto"/>
        </w:rPr>
        <w:t xml:space="preserve"> </w:t>
      </w:r>
      <w:r>
        <w:rPr>
          <w:rFonts w:ascii="Arial" w:cs="Arial" w:eastAsia="Arial" w:hAnsi="Arial"/>
          <w:sz w:val="15"/>
          <w:szCs w:val="15"/>
          <w:color w:val="auto"/>
        </w:rPr>
        <w:t>are recognized at the time product is delivered with payments generally due 30 days after receipt. Amounts are considered past due after 30 days. Ferrellgas, L.P. determines accounts receivable allowances based on management’s assessment of the creditworthiness of the customers and other collection actions. Ferrellgas, L.P. offers “even pay” billing programs that can create customer deposits or advances. Revenue is recognized from these customer deposits or advances to customers at the time product is delivered. Other revenues, which include revenue from the sale of propane appliances and equipment is recognized at the time of delivery or installation. Ferrellgas, L.P. recognizes shipping and handling revenues and expenses for sales of propane, appliances and equipment at the time of delivery or installation. Shipping and handling revenues are included in the price of propane charged to customers, and are classified as revenue. Revenues from annually billed, non-refundable propane tank rentals are recognized in “Revenues: other” on a straight-line basis over one year.</w:t>
      </w:r>
    </w:p>
    <w:p>
      <w:pPr>
        <w:spacing w:after="0" w:line="153" w:lineRule="exact"/>
        <w:rPr>
          <w:sz w:val="20"/>
          <w:szCs w:val="20"/>
          <w:color w:val="auto"/>
        </w:rPr>
      </w:pPr>
    </w:p>
    <w:p>
      <w:pPr>
        <w:ind w:left="60" w:right="459" w:firstLine="648"/>
        <w:spacing w:after="0" w:line="259" w:lineRule="auto"/>
        <w:rPr>
          <w:sz w:val="20"/>
          <w:szCs w:val="20"/>
          <w:color w:val="auto"/>
        </w:rPr>
      </w:pPr>
      <w:r>
        <w:rPr>
          <w:rFonts w:ascii="Arial" w:cs="Arial" w:eastAsia="Arial" w:hAnsi="Arial"/>
          <w:sz w:val="18"/>
          <w:szCs w:val="18"/>
          <w:color w:val="auto"/>
        </w:rPr>
        <w:t>Prior to the dispositions in 2018 which constituted Ferrellgas, L.P.’s Midstream operations segment, revenues included crude oil sales, pipeline tariffs, trucking fees, rail throughput fees, pipeline management services, leasing, throughput, storage and salt water disposal. These revenues were recognized upon completion of the related service or delivery of product.</w:t>
      </w:r>
    </w:p>
    <w:p>
      <w:pPr>
        <w:spacing w:after="0" w:line="183" w:lineRule="exact"/>
        <w:rPr>
          <w:sz w:val="20"/>
          <w:szCs w:val="20"/>
          <w:color w:val="auto"/>
        </w:rPr>
      </w:pPr>
    </w:p>
    <w:p>
      <w:pPr>
        <w:ind w:left="820" w:right="79" w:hanging="446"/>
        <w:spacing w:after="0" w:line="273" w:lineRule="auto"/>
        <w:tabs>
          <w:tab w:leader="none" w:pos="82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Shipping and handling expenses: </w:t>
      </w:r>
      <w:r>
        <w:rPr>
          <w:rFonts w:ascii="Arial" w:cs="Arial" w:eastAsia="Arial" w:hAnsi="Arial"/>
          <w:sz w:val="17"/>
          <w:szCs w:val="17"/>
          <w:color w:val="auto"/>
        </w:rPr>
        <w:t>Shipping and handling expenses related to delivery personnel, vehicle repair</w:t>
      </w:r>
      <w:r>
        <w:rPr>
          <w:rFonts w:ascii="Arial" w:cs="Arial" w:eastAsia="Arial" w:hAnsi="Arial"/>
          <w:sz w:val="17"/>
          <w:szCs w:val="17"/>
          <w:b w:val="1"/>
          <w:bCs w:val="1"/>
          <w:color w:val="auto"/>
        </w:rPr>
        <w:t xml:space="preserve"> </w:t>
      </w:r>
      <w:r>
        <w:rPr>
          <w:rFonts w:ascii="Arial" w:cs="Arial" w:eastAsia="Arial" w:hAnsi="Arial"/>
          <w:sz w:val="17"/>
          <w:szCs w:val="17"/>
          <w:color w:val="auto"/>
        </w:rPr>
        <w:t>and maintenance and general liability expenses are classified within “Operating expense – personnel, vehicle, plant and other” in the consolidated statements of operations. Depreciation expenses on delivery vehicles Ferrellgas, L.P. owns are classified within “Depreciation and amortization expense.” Delivery vehicles and distribution technology under operating leases by Ferrellgas, L.P. are classified within “Operating expense – equipment lease expense.” Delivery vehicles and distribution technology under finance leases by Ferrellgas, L.P. are classified within “Depreciation and amortization expense.”</w:t>
      </w:r>
    </w:p>
    <w:p>
      <w:pPr>
        <w:spacing w:after="0" w:line="17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See Note F – Supplemental financial statement information – for the financial statement presentation of shipping and handling expenses.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20" w:right="119" w:hanging="446"/>
        <w:spacing w:after="0" w:line="273" w:lineRule="auto"/>
        <w:tabs>
          <w:tab w:leader="none" w:pos="82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Cost of sales: </w:t>
      </w:r>
      <w:r>
        <w:rPr>
          <w:rFonts w:ascii="Arial" w:cs="Arial" w:eastAsia="Arial" w:hAnsi="Arial"/>
          <w:sz w:val="17"/>
          <w:szCs w:val="17"/>
          <w:color w:val="auto"/>
        </w:rPr>
        <w:t>“Cost of sales – propane and other gas liquids sales” includes all costs to acquire propane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gas liquids, the costs of storing and transporting inventory prior to delivery to Ferrellgas, L.P.’s customers, the results from risk management activities to hedge related price risk and the costs of materials related to the refurbishment of Ferrellgas, L.P.’s portable propane tanks. “Cost of sales - midstream operations” includes all costs incurred to purchase and transport crude oil, including the costs of terminaling and transporting crude oil prior to delivery to customers and the costs of salt water disposal. “Cost of sales – other” primarily includes costs related to the sale of propane appliances and equipment.</w:t>
      </w:r>
    </w:p>
    <w:p>
      <w:pPr>
        <w:spacing w:after="0" w:line="171" w:lineRule="exact"/>
        <w:rPr>
          <w:rFonts w:ascii="Arial" w:cs="Arial" w:eastAsia="Arial" w:hAnsi="Arial"/>
          <w:sz w:val="17"/>
          <w:szCs w:val="17"/>
          <w:b w:val="1"/>
          <w:bCs w:val="1"/>
          <w:color w:val="auto"/>
        </w:rPr>
      </w:pPr>
    </w:p>
    <w:p>
      <w:pPr>
        <w:ind w:left="820" w:right="79" w:hanging="446"/>
        <w:spacing w:after="0" w:line="347" w:lineRule="auto"/>
        <w:tabs>
          <w:tab w:leader="none" w:pos="82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expense: </w:t>
      </w:r>
      <w:r>
        <w:rPr>
          <w:rFonts w:ascii="Arial" w:cs="Arial" w:eastAsia="Arial" w:hAnsi="Arial"/>
          <w:sz w:val="16"/>
          <w:szCs w:val="16"/>
          <w:color w:val="auto"/>
        </w:rPr>
        <w:t>“Operating expense – personnel, vehicle, plant and other” primarily includes the personnel,</w:t>
      </w:r>
      <w:r>
        <w:rPr>
          <w:rFonts w:ascii="Arial" w:cs="Arial" w:eastAsia="Arial" w:hAnsi="Arial"/>
          <w:sz w:val="16"/>
          <w:szCs w:val="16"/>
          <w:b w:val="1"/>
          <w:bCs w:val="1"/>
          <w:color w:val="auto"/>
        </w:rPr>
        <w:t xml:space="preserve"> </w:t>
      </w:r>
      <w:r>
        <w:rPr>
          <w:rFonts w:ascii="Arial" w:cs="Arial" w:eastAsia="Arial" w:hAnsi="Arial"/>
          <w:sz w:val="16"/>
          <w:szCs w:val="16"/>
          <w:color w:val="auto"/>
        </w:rPr>
        <w:t>vehicle, delivery, handling, plant, office, selling, marketing, credit and collections and other expenses.</w:t>
      </w:r>
    </w:p>
    <w:p>
      <w:pPr>
        <w:spacing w:after="0" w:line="115" w:lineRule="exact"/>
        <w:rPr>
          <w:rFonts w:ascii="Arial" w:cs="Arial" w:eastAsia="Arial" w:hAnsi="Arial"/>
          <w:sz w:val="16"/>
          <w:szCs w:val="16"/>
          <w:b w:val="1"/>
          <w:bCs w:val="1"/>
          <w:color w:val="auto"/>
        </w:rPr>
      </w:pPr>
    </w:p>
    <w:p>
      <w:pPr>
        <w:jc w:val="both"/>
        <w:ind w:left="820" w:right="119" w:hanging="446"/>
        <w:spacing w:after="0" w:line="266" w:lineRule="auto"/>
        <w:tabs>
          <w:tab w:leader="none" w:pos="8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 “</w:t>
      </w:r>
      <w:r>
        <w:rPr>
          <w:rFonts w:ascii="Arial" w:cs="Arial" w:eastAsia="Arial" w:hAnsi="Arial"/>
          <w:sz w:val="18"/>
          <w:szCs w:val="18"/>
          <w:color w:val="auto"/>
        </w:rPr>
        <w:t>General and administrative expense” primarily includes personnel and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expense related to executives and employees, as well as other overhead expenses related to centralized corporate functions.</w:t>
      </w:r>
    </w:p>
    <w:p>
      <w:pPr>
        <w:spacing w:after="0" w:line="175" w:lineRule="exact"/>
        <w:rPr>
          <w:rFonts w:ascii="Arial" w:cs="Arial" w:eastAsia="Arial" w:hAnsi="Arial"/>
          <w:sz w:val="18"/>
          <w:szCs w:val="18"/>
          <w:b w:val="1"/>
          <w:bCs w:val="1"/>
          <w:color w:val="auto"/>
        </w:rPr>
      </w:pPr>
    </w:p>
    <w:p>
      <w:pPr>
        <w:ind w:left="820" w:hanging="446"/>
        <w:spacing w:after="0"/>
        <w:tabs>
          <w:tab w:leader="none" w:pos="8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Ferrell Companies, Inc. Incentive Compensation Plans (“ICPs”)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ICPs are not Ferrellgas, L.P. stock-compensation plans; however, in accordance with Ferrellgas, L.P.’s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partnership agreements, all Ferrellgas, L.P. employee-related costs incurred by Ferrell Companies are allocated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Ferrellgas, L.P. As a result, Ferrellgas, L.P. incurs a non-cash compensation charge from Ferrell Companies. During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years ended July 31, 2020, 2019 and 2018, the portion of the total non-cash compensation charge relating to the ICPs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was zero. During fiscal 2020 there were no plan-based awards granted under the ICP and all outstanding stock appreciation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rights (“SARs”) are currently valued at zero.</w:t>
      </w:r>
    </w:p>
    <w:p>
      <w:pPr>
        <w:spacing w:after="0" w:line="211"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Ferrell Companies is authorized to issue up to 9.25 million SARs that are based on shares of Ferrell Companies common stock. The SARs were established by Ferrell Companies to allow upper-middle and senior level managers as well as directors of the general partner to participate in the equity growth of Ferrell Companies. The SARs awards vest ratably over periods ranging from zero to 10 years or 100% upon a change of control of Ferrell Companies, or upon the death, disability or retirement at the age of 65 of the participant. All awards expire 10 years from the date of issuance. The fair value of each award is estimated on each balance sheet date using a binomial valuation model.</w:t>
      </w:r>
    </w:p>
    <w:p>
      <w:pPr>
        <w:spacing w:after="0" w:line="160" w:lineRule="exact"/>
        <w:rPr>
          <w:sz w:val="20"/>
          <w:szCs w:val="20"/>
          <w:color w:val="auto"/>
        </w:rPr>
      </w:pPr>
    </w:p>
    <w:p>
      <w:pPr>
        <w:ind w:left="820" w:right="99" w:hanging="446"/>
        <w:spacing w:after="0" w:line="271" w:lineRule="auto"/>
        <w:tabs>
          <w:tab w:leader="none" w:pos="82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Ferrellgas, L.P. is a limited partnership and owns three subsidiaries that are taxable corporations.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except for the taxable corporations, Ferrellgas, L.P.’s earnings or losses for federal income tax purposes are included in the tax returns of the individual partners. Accordingly, the accompanying consolidated financial statements of Ferrellgas, L.P. reflect federal income taxes related to the above mentioned taxable corporations and certain states that allow for income taxation of partnerships. Net earnings for financial statement purposes may differ significantly from taxable income reportable to partners as a result of differences between the tax basis and financial reporting basis of assets and liabilities, the taxable income allocation requirements under Ferrellgas, L.P.’s partnership agreement and differences between Ferrellgas, L.P.’s financial reporting fiscal year end and limited partners tax year end.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(benefit)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8"/>
          </w:tcPr>
          <w:p>
            <w:pPr>
              <w:ind w:left="160"/>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920" w:type="dxa"/>
            <w:vAlign w:val="bottom"/>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expense (benefit)</w:t>
            </w:r>
          </w:p>
        </w:tc>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(3,818)</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(2,699)</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0" w:type="dxa"/>
            <w:vAlign w:val="bottom"/>
            <w:gridSpan w:val="2"/>
          </w:tcPr>
          <w:p>
            <w:pPr>
              <w:jc w:val="right"/>
              <w:ind w:right="1127"/>
              <w:spacing w:after="0"/>
              <w:rPr>
                <w:sz w:val="20"/>
                <w:szCs w:val="20"/>
                <w:color w:val="auto"/>
              </w:rPr>
            </w:pPr>
            <w:r>
              <w:rPr>
                <w:rFonts w:ascii="Arial" w:cs="Arial" w:eastAsia="Arial" w:hAnsi="Arial"/>
                <w:sz w:val="18"/>
                <w:szCs w:val="18"/>
                <w:color w:val="auto"/>
              </w:rPr>
              <w:t>F-61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9" w:name="page170"/>
    <w:bookmarkEnd w:id="1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Deferred taxes consisted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(included in Other assets, net)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 (included in Other liabilities)</w:t>
            </w:r>
          </w:p>
        </w:tc>
        <w:tc>
          <w:tcPr>
            <w:tcW w:w="8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20" w:right="79" w:hanging="446"/>
        <w:spacing w:after="0" w:line="282" w:lineRule="auto"/>
        <w:tabs>
          <w:tab w:leader="none" w:pos="8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taxes: </w:t>
      </w:r>
      <w:r>
        <w:rPr>
          <w:rFonts w:ascii="Arial" w:cs="Arial" w:eastAsia="Arial" w:hAnsi="Arial"/>
          <w:sz w:val="18"/>
          <w:szCs w:val="18"/>
          <w:color w:val="auto"/>
        </w:rPr>
        <w:t>Ferrellgas, L.P. accounts for the collection and remittance of sales tax on a net tax basis.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these amounts are not reflected in the consolidated statements of operations.</w:t>
      </w:r>
    </w:p>
    <w:p>
      <w:pPr>
        <w:spacing w:after="0" w:line="161" w:lineRule="exact"/>
        <w:rPr>
          <w:rFonts w:ascii="Arial" w:cs="Arial" w:eastAsia="Arial" w:hAnsi="Arial"/>
          <w:sz w:val="18"/>
          <w:szCs w:val="18"/>
          <w:b w:val="1"/>
          <w:bCs w:val="1"/>
          <w:color w:val="auto"/>
        </w:rPr>
      </w:pPr>
    </w:p>
    <w:p>
      <w:pPr>
        <w:ind w:left="820" w:right="139" w:hanging="446"/>
        <w:spacing w:after="0" w:line="256" w:lineRule="auto"/>
        <w:tabs>
          <w:tab w:leader="none" w:pos="8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contingencies: </w:t>
      </w:r>
      <w:r>
        <w:rPr>
          <w:rFonts w:ascii="Arial" w:cs="Arial" w:eastAsia="Arial" w:hAnsi="Arial"/>
          <w:sz w:val="18"/>
          <w:szCs w:val="18"/>
          <w:color w:val="auto"/>
        </w:rPr>
        <w:t>In the normal course of business, Ferrellgas, L.P. is involved in various claims and legal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Ferrellgas, L.P. records a liability for 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loss contingencies are expensed as incurred.</w:t>
      </w:r>
    </w:p>
    <w:p>
      <w:pPr>
        <w:spacing w:after="0" w:line="187" w:lineRule="exact"/>
        <w:rPr>
          <w:rFonts w:ascii="Arial" w:cs="Arial" w:eastAsia="Arial" w:hAnsi="Arial"/>
          <w:sz w:val="18"/>
          <w:szCs w:val="18"/>
          <w:b w:val="1"/>
          <w:bCs w:val="1"/>
          <w:color w:val="auto"/>
        </w:rPr>
      </w:pPr>
    </w:p>
    <w:p>
      <w:pPr>
        <w:ind w:left="820" w:hanging="446"/>
        <w:spacing w:after="0"/>
        <w:tabs>
          <w:tab w:leader="none" w:pos="8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FASB Accounting Standard Update No. 2016-02</w:t>
      </w:r>
    </w:p>
    <w:p>
      <w:pPr>
        <w:spacing w:after="0" w:line="27"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 increase transparency and comparability among organizations by recognizing lease assets and lease liabilities on the balance sheet and disclosing key information about leasing arrangements. ASU 2016-02 became effective for Ferrellgas for its annual reporting period beginning August 1, 2019, including interim periods within that reporting period. Ferrellgas adopted the standard using the transition relief option in ASU 2018-11, “Leases: Targeted Improvements” which, among other things, provides entities with an option to recognize the cumulative-effect adjustment from the modified retrospective application to the opening balance of retained earnings in the period of adoption and consequently, to continue to report comparative periods in compliance with the prior guidance (ASC 840).</w:t>
      </w:r>
    </w:p>
    <w:p>
      <w:pPr>
        <w:spacing w:after="0" w:line="183"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Ferrellgas elected the short-term lease recognition exemption for all leases that qualify, meaning it does not recognize right-of-use assets (“ROU assets”) or lease liabilities for those leases. Ferrellgas also elected the practical expedient to not separate lease and non-lease components for its most significant leasing activity, which includes vehicle and real estate leases.</w:t>
      </w:r>
    </w:p>
    <w:p>
      <w:pPr>
        <w:spacing w:after="0" w:line="18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Additionally, Ferrellgas elected the package of three practical expedients which allows entities to not reassess initial direct costs, lease classification for existing or expired leases, and lease definition for existing or expired contracts as of the effective date of August 1, 2019. Ferrellgas did not, however, elect the hindsight method practical expedient which would have allowed it to reassess lease terms and impairment.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FASB Accounting Standard Update No. 2016-13</w:t>
      </w:r>
    </w:p>
    <w:p>
      <w:pPr>
        <w:spacing w:after="0" w:line="27"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 xml:space="preserve">In June 2016, the FASB issued ASU 2016 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adopted the amended guidance effective August 1, 2020. Ferrellgas does not expect this adoption to have a material impact on the consolidated financial statements.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FASB Accounting Standard Update No. 2017-12</w:t>
      </w:r>
    </w:p>
    <w:p>
      <w:pPr>
        <w:spacing w:after="0" w:line="27" w:lineRule="exact"/>
        <w:rPr>
          <w:sz w:val="20"/>
          <w:szCs w:val="20"/>
          <w:color w:val="auto"/>
        </w:rPr>
      </w:pPr>
    </w:p>
    <w:p>
      <w:pPr>
        <w:ind w:left="60" w:right="259" w:firstLine="648"/>
        <w:spacing w:after="0" w:line="295" w:lineRule="auto"/>
        <w:rPr>
          <w:sz w:val="20"/>
          <w:szCs w:val="20"/>
          <w:color w:val="auto"/>
        </w:rPr>
      </w:pPr>
      <w:r>
        <w:rPr>
          <w:rFonts w:ascii="Arial" w:cs="Arial" w:eastAsia="Arial" w:hAnsi="Arial"/>
          <w:sz w:val="16"/>
          <w:szCs w:val="16"/>
          <w:color w:val="auto"/>
        </w:rPr>
        <w:t xml:space="preserve">In August 2017, the FASB issued ASU 2017 12, </w:t>
      </w:r>
      <w:r>
        <w:rPr>
          <w:rFonts w:ascii="Arial" w:cs="Arial" w:eastAsia="Arial" w:hAnsi="Arial"/>
          <w:sz w:val="16"/>
          <w:szCs w:val="16"/>
          <w:i w:val="1"/>
          <w:iCs w:val="1"/>
          <w:color w:val="auto"/>
        </w:rPr>
        <w:t>Financial Instruments - Derivatives and Hedging (Topic 815)</w:t>
      </w:r>
      <w:r>
        <w:rPr>
          <w:rFonts w:ascii="Arial" w:cs="Arial" w:eastAsia="Arial" w:hAnsi="Arial"/>
          <w:sz w:val="16"/>
          <w:szCs w:val="16"/>
          <w:color w:val="auto"/>
        </w:rPr>
        <w:t xml:space="preserve"> - Targeted Improvements to Accounting for Hedging Activities, which is intended to improve the financial reporting for hedging relationships to better portray the economic results of an entity’s risk management activities in its financial statements. This standard became effective for Ferrellgas for its fiscal year beginning August 1, 2019, including interim</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periods within that reporting period. Ferrellgas applied ASU No. 2017-12 using a modified retrospective approach for cash flow hedges existing at the date of adoption and prospectively for the presentation and disclosure guidance. The adoption of this standard did not have a material impact on our consolidated financial statements.</w:t>
      </w:r>
    </w:p>
    <w:p>
      <w:pPr>
        <w:ind w:left="700"/>
        <w:spacing w:after="0"/>
        <w:rPr>
          <w:sz w:val="20"/>
          <w:szCs w:val="20"/>
          <w:color w:val="auto"/>
        </w:rPr>
      </w:pPr>
      <w:r>
        <w:rPr>
          <w:rFonts w:ascii="Arial" w:cs="Arial" w:eastAsia="Arial" w:hAnsi="Arial"/>
          <w:sz w:val="18"/>
          <w:szCs w:val="18"/>
          <w:color w:val="FFFFFF"/>
        </w:rPr>
        <w:t>.</w:t>
      </w:r>
    </w:p>
    <w:p>
      <w:pPr>
        <w:spacing w:after="0" w:line="207" w:lineRule="exact"/>
        <w:rPr>
          <w:sz w:val="20"/>
          <w:szCs w:val="20"/>
          <w:color w:val="auto"/>
        </w:rPr>
      </w:pPr>
    </w:p>
    <w:p>
      <w:pPr>
        <w:ind w:left="580" w:hanging="530"/>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Ferrellgas, L.P. determines if an arrangement is a lease or contains a lease at inception. Ferrellgas, L.P. leases certain transportation and computer equipment and real estate, predominantly through operating leases. Ferrellgas, L.P. has an immaterial amount of leases in which it is the lessor. Operating lease rentals are expensed on a straight-line basis over the life of the lease beginning on the lease commencement date. Ferrellgas, L.P. determines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ROU assets, and current and long-term operating lease liabilities on Ferrellgas, L.P.’s consolidated balance sheet. Ferrellgas, L.P. classifies finance leases in “Other assets, net”, “Other current liabilities”, and “Other liabilities” on its consolidated balance sheet.</w:t>
      </w:r>
    </w:p>
    <w:p>
      <w:pPr>
        <w:spacing w:after="0" w:line="18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ROU assets represent Ferrellgas, L.P.’s right to use an underlying asset for the lease term and lease liabilities represent its obligation to make lease payments arising from the lease. Operating lease ROU assets and liabilities are recognized at the commencement date based on the present value of lease payments over the lease term. As most of Ferrellgas, L.P.’s leases do not provide an implicit discount rate, Ferrellgas, L.P. uses its incremental borrowing rate adjusted for the lease term to represent the rate it would have to pay to borrow on a collateralized basis based on the information available at the commencement date in determining the present value of lease payments. Ferrellgas, L.P.’s lease terms may include options to extend or terminate the lease and it will adjust the life of the lease when it is reasonably certain that it will exercise these options.</w:t>
      </w:r>
    </w:p>
    <w:p>
      <w:pPr>
        <w:spacing w:after="0" w:line="192" w:lineRule="exact"/>
        <w:rPr>
          <w:sz w:val="20"/>
          <w:szCs w:val="20"/>
          <w:color w:val="auto"/>
        </w:rPr>
      </w:pPr>
    </w:p>
    <w:p>
      <w:pPr>
        <w:jc w:val="both"/>
        <w:ind w:left="60" w:right="99" w:firstLine="648"/>
        <w:spacing w:after="0" w:line="311" w:lineRule="auto"/>
        <w:rPr>
          <w:sz w:val="20"/>
          <w:szCs w:val="20"/>
          <w:color w:val="auto"/>
        </w:rPr>
      </w:pPr>
      <w:r>
        <w:rPr>
          <w:rFonts w:ascii="Arial" w:cs="Arial" w:eastAsia="Arial" w:hAnsi="Arial"/>
          <w:sz w:val="16"/>
          <w:szCs w:val="16"/>
          <w:color w:val="auto"/>
        </w:rPr>
        <w:t>Ferrellgas, L.P. has lease agreements with lease and non-lease components, which are generally accounted for as a single lease component. Ferrellgas, L.P. has variable lease components, including lease payments with payment escalation based on the Consumer Price Index, and other variable items, such as common area maintenance and taxes.</w:t>
      </w:r>
    </w:p>
    <w:p>
      <w:pPr>
        <w:spacing w:after="0" w:line="14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Key assumptions include the discount rate, the impact of purchase options and renewal options on Ferrellgas, L.P.’s lease term, as well as the assessment of residual value guarantees.</w:t>
      </w:r>
    </w:p>
    <w:p>
      <w:pPr>
        <w:spacing w:after="0" w:line="170"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Ferrellgas, L.P.’s transportation equipment leases generally have purchase options. However, in most circumstances Ferrellgas, L.P. is not certain if it will exercise the purchase option at lease inception. As circumstances dictate, it may instead return the existing equipment to the lessor and sign a new lease. Ferrellgas, L.P.’s transportation equipment leases often contain residual value guarantees, but they are not reflected in Ferrellgas, L.P.’s lease liabilities as its lease rates are such that residual value guarantees are not expected to be owed at the end of its leases.</w:t>
      </w:r>
    </w:p>
    <w:p>
      <w:pPr>
        <w:spacing w:after="0" w:line="161"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Ferrellgas, L.P.’s real estate leases will often have an option to extend the lease, but it is typically not reasonably certain of exercising options to extend. As customer demand changes over time, Ferrellgas, L.P. typically maintains the ability to move to more advantageous locations, relocate to other leased and owned locations, or discontinue service from particular locations.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1" w:name="page172"/>
    <w:bookmarkEnd w:id="1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the operating and financing ROU assets and lease liabilities as of July 31, 2020:</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3240" w:type="dxa"/>
            <w:vAlign w:val="bottom"/>
          </w:tcPr>
          <w:p>
            <w:pPr>
              <w:ind w:left="120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4"/>
                <w:szCs w:val="14"/>
                <w:color w:val="auto"/>
              </w:rPr>
            </w:pPr>
          </w:p>
        </w:tc>
        <w:tc>
          <w:tcPr>
            <w:tcW w:w="2280" w:type="dxa"/>
            <w:vAlign w:val="bottom"/>
          </w:tcPr>
          <w:p>
            <w:pPr>
              <w:jc w:val="right"/>
              <w:ind w:right="652"/>
              <w:spacing w:after="0"/>
              <w:rPr>
                <w:sz w:val="20"/>
                <w:szCs w:val="20"/>
                <w:color w:val="auto"/>
              </w:rPr>
            </w:pPr>
            <w:r>
              <w:rPr>
                <w:rFonts w:ascii="Arial" w:cs="Arial" w:eastAsia="Arial" w:hAnsi="Arial"/>
                <w:sz w:val="14"/>
                <w:szCs w:val="14"/>
                <w:b w:val="1"/>
                <w:bCs w:val="1"/>
                <w:color w:val="auto"/>
              </w:rPr>
              <w:t>July 31, 2020</w:t>
            </w:r>
          </w:p>
        </w:tc>
      </w:tr>
      <w:tr>
        <w:trPr>
          <w:trHeight w:val="209"/>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32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107,349</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lease assets</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340" w:type="dxa"/>
            <w:vAlign w:val="bottom"/>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41,426</w:t>
            </w:r>
          </w:p>
        </w:tc>
      </w:tr>
      <w:tr>
        <w:trPr>
          <w:trHeight w:val="249"/>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leased assets</w:t>
            </w:r>
          </w:p>
        </w:tc>
        <w:tc>
          <w:tcPr>
            <w:tcW w:w="32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148,775</w:t>
            </w:r>
          </w:p>
        </w:tc>
      </w:tr>
      <w:tr>
        <w:trPr>
          <w:trHeight w:val="197"/>
        </w:trPr>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324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29,345</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89,022</w:t>
            </w:r>
          </w:p>
        </w:tc>
      </w:tr>
      <w:tr>
        <w:trPr>
          <w:trHeight w:val="216"/>
        </w:trPr>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w:t>
            </w:r>
          </w:p>
        </w:tc>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w:t>
            </w:r>
          </w:p>
        </w:tc>
      </w:tr>
      <w:tr>
        <w:trPr>
          <w:trHeight w:val="209"/>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leased liabilities</w:t>
            </w:r>
          </w:p>
        </w:tc>
        <w:tc>
          <w:tcPr>
            <w:tcW w:w="3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158,795</w:t>
            </w:r>
          </w:p>
        </w:tc>
      </w:tr>
      <w:tr>
        <w:trPr>
          <w:trHeight w:val="20"/>
        </w:trPr>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the lease expenses for the twelve months ended July 31, 2020:</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 expense</w:t>
            </w:r>
          </w:p>
        </w:tc>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July 31, 2020</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ind w:left="40"/>
        <w:spacing w:after="0"/>
        <w:rPr>
          <w:sz w:val="20"/>
          <w:szCs w:val="20"/>
          <w:color w:val="auto"/>
        </w:rPr>
      </w:pPr>
      <w:r>
        <w:rPr>
          <w:rFonts w:ascii="Arial" w:cs="Arial" w:eastAsia="Arial" w:hAnsi="Arial"/>
          <w:sz w:val="18"/>
          <w:szCs w:val="18"/>
          <w:color w:val="auto"/>
        </w:rPr>
        <w:t>Operating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operating lease expense</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expense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short-term expense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expense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variable lease expense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leased assets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8"/>
          <w:szCs w:val="18"/>
          <w:color w:val="auto"/>
        </w:rPr>
        <w:t>Operating expense - personnel, vehicle, plant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635</wp:posOffset>
            </wp:positionV>
            <wp:extent cx="565785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Operating expense - equipment lease expense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Cost of sales - propane and other gas liquids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27940</wp:posOffset>
            </wp:positionV>
            <wp:extent cx="565785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151765</wp:posOffset>
            </wp:positionV>
            <wp:extent cx="565785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expense - personnel, vehicle, plant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635</wp:posOffset>
            </wp:positionV>
            <wp:extent cx="565785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151765</wp:posOffset>
            </wp:positionV>
            <wp:extent cx="565785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Operating expense - personnel, vehicle, plant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635</wp:posOffset>
            </wp:positionV>
            <wp:extent cx="565785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Operating expense - equipment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158750</wp:posOffset>
            </wp:positionV>
            <wp:extent cx="565785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760"/>
        <w:spacing w:after="0" w:line="269" w:lineRule="auto"/>
        <w:rPr>
          <w:sz w:val="20"/>
          <w:szCs w:val="20"/>
          <w:color w:val="auto"/>
        </w:rPr>
      </w:pPr>
      <w:r>
        <w:rPr>
          <w:rFonts w:ascii="Arial" w:cs="Arial" w:eastAsia="Arial" w:hAnsi="Arial"/>
          <w:sz w:val="18"/>
          <w:szCs w:val="18"/>
          <w:color w:val="auto"/>
        </w:rPr>
        <w:t>Depreciation and amortization expense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-285115</wp:posOffset>
            </wp:positionV>
            <wp:extent cx="565785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09" w:hanging="1209"/>
        <w:spacing w:after="0"/>
        <w:tabs>
          <w:tab w:leader="none" w:pos="120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7,450</w:t>
      </w:r>
    </w:p>
    <w:p>
      <w:pPr>
        <w:spacing w:after="0" w:line="57" w:lineRule="exact"/>
        <w:rPr>
          <w:rFonts w:ascii="Arial" w:cs="Arial" w:eastAsia="Arial" w:hAnsi="Arial"/>
          <w:sz w:val="15"/>
          <w:szCs w:val="15"/>
          <w:color w:val="auto"/>
        </w:rPr>
      </w:pPr>
    </w:p>
    <w:p>
      <w:pPr>
        <w:ind w:left="1109"/>
        <w:spacing w:after="0"/>
        <w:rPr>
          <w:rFonts w:ascii="Arial" w:cs="Arial" w:eastAsia="Arial" w:hAnsi="Arial"/>
          <w:sz w:val="15"/>
          <w:szCs w:val="15"/>
          <w:color w:val="auto"/>
        </w:rPr>
      </w:pPr>
      <w:r>
        <w:rPr>
          <w:rFonts w:ascii="Arial" w:cs="Arial" w:eastAsia="Arial" w:hAnsi="Arial"/>
          <w:sz w:val="16"/>
          <w:szCs w:val="16"/>
          <w:color w:val="auto"/>
        </w:rPr>
        <w:t>30,994</w:t>
      </w:r>
    </w:p>
    <w:p>
      <w:pPr>
        <w:spacing w:after="0" w:line="32"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1,553</w:t>
      </w:r>
    </w:p>
    <w:p>
      <w:pPr>
        <w:spacing w:after="0" w:line="43"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10547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24" w:lineRule="exact"/>
        <w:rPr>
          <w:sz w:val="20"/>
          <w:szCs w:val="20"/>
          <w:color w:val="auto"/>
        </w:rPr>
      </w:pPr>
    </w:p>
    <w:p>
      <w:pPr>
        <w:ind w:left="1109" w:hanging="1109"/>
        <w:spacing w:after="0"/>
        <w:tabs>
          <w:tab w:leader="none" w:pos="110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41,487</w:t>
      </w:r>
    </w:p>
    <w:p>
      <w:pPr>
        <w:spacing w:after="0" w:line="200" w:lineRule="exact"/>
        <w:rPr>
          <w:sz w:val="20"/>
          <w:szCs w:val="20"/>
          <w:color w:val="auto"/>
        </w:rPr>
      </w:pPr>
    </w:p>
    <w:p>
      <w:pPr>
        <w:spacing w:after="0" w:line="263" w:lineRule="exact"/>
        <w:rPr>
          <w:sz w:val="20"/>
          <w:szCs w:val="20"/>
          <w:color w:val="auto"/>
        </w:rPr>
      </w:pPr>
    </w:p>
    <w:p>
      <w:pPr>
        <w:ind w:left="1209" w:hanging="1209"/>
        <w:spacing w:after="0"/>
        <w:tabs>
          <w:tab w:leader="none" w:pos="120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7,188</w:t>
      </w:r>
    </w:p>
    <w:p>
      <w:pPr>
        <w:spacing w:after="0" w:line="57"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6"/>
          <w:szCs w:val="16"/>
          <w:color w:val="auto"/>
        </w:rPr>
        <w:t>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0547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2" w:lineRule="exact"/>
        <w:rPr>
          <w:sz w:val="20"/>
          <w:szCs w:val="20"/>
          <w:color w:val="auto"/>
        </w:rPr>
      </w:pPr>
    </w:p>
    <w:p>
      <w:pPr>
        <w:ind w:left="1209" w:hanging="1209"/>
        <w:spacing w:after="0"/>
        <w:tabs>
          <w:tab w:leader="none" w:pos="1209" w:val="left"/>
        </w:tabs>
        <w:numPr>
          <w:ilvl w:val="0"/>
          <w:numId w:val="136"/>
        </w:numPr>
        <w:rPr>
          <w:rFonts w:ascii="Arial" w:cs="Arial" w:eastAsia="Arial" w:hAnsi="Arial"/>
          <w:sz w:val="15"/>
          <w:szCs w:val="15"/>
          <w:color w:val="auto"/>
        </w:rPr>
      </w:pPr>
      <w:r>
        <w:rPr>
          <w:rFonts w:ascii="Arial" w:cs="Arial" w:eastAsia="Arial" w:hAnsi="Arial"/>
          <w:sz w:val="15"/>
          <w:szCs w:val="15"/>
          <w:color w:val="auto"/>
        </w:rPr>
        <w:t>7,690</w:t>
      </w:r>
    </w:p>
    <w:p>
      <w:pPr>
        <w:spacing w:after="0" w:line="200" w:lineRule="exact"/>
        <w:rPr>
          <w:sz w:val="20"/>
          <w:szCs w:val="20"/>
          <w:color w:val="auto"/>
        </w:rPr>
      </w:pPr>
    </w:p>
    <w:p>
      <w:pPr>
        <w:spacing w:after="0" w:line="275" w:lineRule="exact"/>
        <w:rPr>
          <w:sz w:val="20"/>
          <w:szCs w:val="20"/>
          <w:color w:val="auto"/>
        </w:rPr>
      </w:pPr>
    </w:p>
    <w:p>
      <w:pPr>
        <w:ind w:left="1209" w:hanging="1209"/>
        <w:spacing w:after="0"/>
        <w:tabs>
          <w:tab w:leader="none" w:pos="1209" w:val="left"/>
        </w:tabs>
        <w:numPr>
          <w:ilvl w:val="0"/>
          <w:numId w:val="137"/>
        </w:numPr>
        <w:rPr>
          <w:rFonts w:ascii="Arial" w:cs="Arial" w:eastAsia="Arial" w:hAnsi="Arial"/>
          <w:sz w:val="15"/>
          <w:szCs w:val="15"/>
          <w:color w:val="auto"/>
        </w:rPr>
      </w:pPr>
      <w:r>
        <w:rPr>
          <w:rFonts w:ascii="Arial" w:cs="Arial" w:eastAsia="Arial" w:hAnsi="Arial"/>
          <w:sz w:val="15"/>
          <w:szCs w:val="15"/>
          <w:color w:val="auto"/>
        </w:rPr>
        <w:t>2,883</w:t>
      </w:r>
    </w:p>
    <w:p>
      <w:pPr>
        <w:spacing w:after="0" w:line="57"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10547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4" w:lineRule="exact"/>
        <w:rPr>
          <w:sz w:val="20"/>
          <w:szCs w:val="20"/>
          <w:color w:val="auto"/>
        </w:rPr>
      </w:pPr>
    </w:p>
    <w:p>
      <w:pPr>
        <w:ind w:left="1209" w:hanging="1209"/>
        <w:spacing w:after="0"/>
        <w:tabs>
          <w:tab w:leader="none" w:pos="120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4,525</w:t>
      </w:r>
    </w:p>
    <w:p>
      <w:pPr>
        <w:spacing w:after="0" w:line="200" w:lineRule="exact"/>
        <w:rPr>
          <w:sz w:val="20"/>
          <w:szCs w:val="20"/>
          <w:color w:val="auto"/>
        </w:rPr>
      </w:pPr>
    </w:p>
    <w:p>
      <w:pPr>
        <w:spacing w:after="0" w:line="275" w:lineRule="exact"/>
        <w:rPr>
          <w:sz w:val="20"/>
          <w:szCs w:val="20"/>
          <w:color w:val="auto"/>
        </w:rPr>
      </w:pPr>
    </w:p>
    <w:p>
      <w:pPr>
        <w:ind w:left="1209" w:hanging="1209"/>
        <w:spacing w:after="0"/>
        <w:tabs>
          <w:tab w:leader="none" w:pos="1209" w:val="left"/>
        </w:tabs>
        <w:numPr>
          <w:ilvl w:val="0"/>
          <w:numId w:val="139"/>
        </w:numPr>
        <w:rPr>
          <w:rFonts w:ascii="Arial" w:cs="Arial" w:eastAsia="Arial" w:hAnsi="Arial"/>
          <w:sz w:val="15"/>
          <w:szCs w:val="15"/>
          <w:color w:val="auto"/>
        </w:rPr>
      </w:pPr>
      <w:r>
        <w:rPr>
          <w:rFonts w:ascii="Arial" w:cs="Arial" w:eastAsia="Arial" w:hAnsi="Arial"/>
          <w:sz w:val="15"/>
          <w:szCs w:val="15"/>
          <w:color w:val="auto"/>
        </w:rPr>
        <w:t>2,613</w:t>
      </w:r>
    </w:p>
    <w:p>
      <w:pPr>
        <w:spacing w:after="0" w:line="57" w:lineRule="exact"/>
        <w:rPr>
          <w:rFonts w:ascii="Arial" w:cs="Arial" w:eastAsia="Arial" w:hAnsi="Arial"/>
          <w:sz w:val="15"/>
          <w:szCs w:val="15"/>
          <w:color w:val="auto"/>
        </w:rPr>
      </w:pPr>
    </w:p>
    <w:p>
      <w:pPr>
        <w:ind w:left="1209"/>
        <w:spacing w:after="0"/>
        <w:rPr>
          <w:rFonts w:ascii="Arial" w:cs="Arial" w:eastAsia="Arial" w:hAnsi="Arial"/>
          <w:sz w:val="15"/>
          <w:szCs w:val="15"/>
          <w:color w:val="auto"/>
        </w:rPr>
      </w:pPr>
      <w:r>
        <w:rPr>
          <w:rFonts w:ascii="Arial" w:cs="Arial" w:eastAsia="Arial" w:hAnsi="Arial"/>
          <w:sz w:val="15"/>
          <w:szCs w:val="15"/>
          <w:color w:val="auto"/>
        </w:rPr>
        <w:t>1,060</w:t>
      </w:r>
    </w:p>
    <w:p>
      <w:pPr>
        <w:spacing w:after="0" w:line="62" w:lineRule="exact"/>
        <w:rPr>
          <w:sz w:val="20"/>
          <w:szCs w:val="20"/>
          <w:color w:val="auto"/>
        </w:rPr>
      </w:pPr>
    </w:p>
    <w:p>
      <w:pPr>
        <w:sectPr>
          <w:pgSz w:w="11900" w:h="16838" w:orient="portrait"/>
          <w:cols w:equalWidth="0" w:num="3">
            <w:col w:w="2560" w:space="720"/>
            <w:col w:w="3580" w:space="431"/>
            <w:col w:w="1728"/>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192"/>
        </w:trPr>
        <w:tc>
          <w:tcPr>
            <w:tcW w:w="72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Total finance lease expense</w:t>
            </w:r>
          </w:p>
        </w:tc>
        <w:tc>
          <w:tcPr>
            <w:tcW w:w="620" w:type="dxa"/>
            <w:vAlign w:val="bottom"/>
            <w:tcBorders>
              <w:top w:val="single" w:sz="8" w:color="auto"/>
            </w:tcBorders>
            <w:shd w:val="clear" w:color="auto" w:fill="CCEEFF"/>
          </w:tcPr>
          <w:p>
            <w:pPr>
              <w:jc w:val="right"/>
              <w:ind w:right="430"/>
              <w:spacing w:after="0" w:line="19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3,673</w:t>
            </w:r>
          </w:p>
        </w:tc>
      </w:tr>
      <w:tr>
        <w:trPr>
          <w:trHeight w:val="216"/>
        </w:trPr>
        <w:tc>
          <w:tcPr>
            <w:tcW w:w="72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expense (a)</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57,375</w:t>
            </w:r>
          </w:p>
        </w:tc>
      </w:tr>
      <w:tr>
        <w:trPr>
          <w:trHeight w:val="20"/>
        </w:trPr>
        <w:tc>
          <w:tcPr>
            <w:tcW w:w="7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right="279" w:hanging="326"/>
        <w:spacing w:after="0" w:line="279" w:lineRule="auto"/>
        <w:tabs>
          <w:tab w:leader="none" w:pos="7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of July 31, 2020 Ferrellgas, L.P. has also recognized $0.5 million of expense related to the accretion of lease exit costs associated with a crude oil storage agreement that is no longer being utilized, primarily due to the various Midstream dispositions described in Note D – Acquisitions, dispositions and other significant transactions, and for which Ferrellgas, L.P. does not anticipate any future economic benefit.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Minimum annual payments under existing operating and finance lease liabilities as of July 31, 2020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Maturities of lease liabilities</w:t>
            </w:r>
          </w:p>
        </w:tc>
        <w:tc>
          <w:tcPr>
            <w:tcW w:w="12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4"/>
                <w:szCs w:val="14"/>
                <w:color w:val="auto"/>
              </w:rPr>
            </w:pPr>
          </w:p>
        </w:tc>
        <w:tc>
          <w:tcPr>
            <w:tcW w:w="2240" w:type="dxa"/>
            <w:vAlign w:val="bottom"/>
          </w:tcPr>
          <w:p>
            <w:pPr>
              <w:jc w:val="right"/>
              <w:ind w:right="1812"/>
              <w:spacing w:after="0"/>
              <w:rPr>
                <w:sz w:val="20"/>
                <w:szCs w:val="20"/>
                <w:color w:val="auto"/>
              </w:rPr>
            </w:pPr>
            <w:r>
              <w:rPr>
                <w:rFonts w:ascii="Arial" w:cs="Arial" w:eastAsia="Arial" w:hAnsi="Arial"/>
                <w:sz w:val="14"/>
                <w:szCs w:val="14"/>
                <w:b w:val="1"/>
                <w:bCs w:val="1"/>
                <w:color w:val="auto"/>
                <w:w w:val="95"/>
              </w:rPr>
              <w:t>Total</w:t>
            </w:r>
          </w:p>
        </w:tc>
      </w:tr>
      <w:tr>
        <w:trPr>
          <w:trHeight w:val="209"/>
        </w:trPr>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44,891</w:t>
            </w:r>
          </w:p>
        </w:tc>
      </w:tr>
      <w:tr>
        <w:trPr>
          <w:trHeight w:val="216"/>
        </w:trPr>
        <w:tc>
          <w:tcPr>
            <w:tcW w:w="2760" w:type="dxa"/>
            <w:vAlign w:val="bottom"/>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36,586</w:t>
            </w:r>
          </w:p>
        </w:tc>
      </w:tr>
      <w:tr>
        <w:trPr>
          <w:trHeight w:val="216"/>
        </w:trPr>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43,358</w:t>
            </w:r>
          </w:p>
        </w:tc>
      </w:tr>
      <w:tr>
        <w:trPr>
          <w:trHeight w:val="216"/>
        </w:trPr>
        <w:tc>
          <w:tcPr>
            <w:tcW w:w="276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25,075</w:t>
            </w:r>
          </w:p>
        </w:tc>
      </w:tr>
      <w:tr>
        <w:trPr>
          <w:trHeight w:val="216"/>
        </w:trPr>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19,786</w:t>
            </w:r>
          </w:p>
        </w:tc>
      </w:tr>
      <w:tr>
        <w:trPr>
          <w:trHeight w:val="216"/>
        </w:trPr>
        <w:tc>
          <w:tcPr>
            <w:tcW w:w="28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31,849</w:t>
            </w:r>
          </w:p>
        </w:tc>
      </w:tr>
      <w:tr>
        <w:trPr>
          <w:trHeight w:val="210"/>
        </w:trPr>
        <w:tc>
          <w:tcPr>
            <w:tcW w:w="2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201,545</w:t>
            </w:r>
          </w:p>
        </w:tc>
      </w:tr>
      <w:tr>
        <w:trPr>
          <w:trHeight w:val="216"/>
        </w:trPr>
        <w:tc>
          <w:tcPr>
            <w:tcW w:w="28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42,750</w:t>
            </w:r>
          </w:p>
        </w:tc>
      </w:tr>
      <w:tr>
        <w:trPr>
          <w:trHeight w:val="209"/>
        </w:trPr>
        <w:tc>
          <w:tcPr>
            <w:tcW w:w="2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158,795</w:t>
            </w: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the weighted-average remaining lease term and discount rate as of July 31, 2020:</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Lease type</w:t>
            </w:r>
          </w:p>
        </w:tc>
        <w:tc>
          <w:tcPr>
            <w:tcW w:w="3520" w:type="dxa"/>
            <w:vAlign w:val="bottom"/>
            <w:tcBorders>
              <w:bottom w:val="single" w:sz="8" w:color="auto"/>
            </w:tcBorders>
            <w:gridSpan w:val="4"/>
          </w:tcPr>
          <w:p>
            <w:pPr>
              <w:ind w:left="2320"/>
              <w:spacing w:after="0"/>
              <w:rPr>
                <w:sz w:val="20"/>
                <w:szCs w:val="20"/>
                <w:color w:val="auto"/>
              </w:rPr>
            </w:pPr>
            <w:r>
              <w:rPr>
                <w:rFonts w:ascii="Arial" w:cs="Arial" w:eastAsia="Arial" w:hAnsi="Arial"/>
                <w:sz w:val="14"/>
                <w:szCs w:val="14"/>
                <w:b w:val="1"/>
                <w:bCs w:val="1"/>
                <w:color w:val="auto"/>
                <w:w w:val="94"/>
              </w:rPr>
              <w:t>As of July 31, 2020</w:t>
            </w:r>
          </w:p>
        </w:tc>
        <w:tc>
          <w:tcPr>
            <w:tcW w:w="2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52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Weighted-average remaining lease term (years)</w:t>
            </w:r>
          </w:p>
        </w:tc>
        <w:tc>
          <w:tcPr>
            <w:tcW w:w="22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Weighted-average discount rate</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3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18"/>
        </w:trPr>
        <w:tc>
          <w:tcPr>
            <w:tcW w:w="6640" w:type="dxa"/>
            <w:vAlign w:val="bottom"/>
            <w:gridSpan w:val="6"/>
          </w:tcPr>
          <w:p>
            <w:pPr>
              <w:ind w:left="660"/>
              <w:spacing w:after="0"/>
              <w:rPr>
                <w:sz w:val="20"/>
                <w:szCs w:val="20"/>
                <w:color w:val="auto"/>
              </w:rPr>
            </w:pPr>
            <w:r>
              <w:rPr>
                <w:rFonts w:ascii="Arial" w:cs="Arial" w:eastAsia="Arial" w:hAnsi="Arial"/>
                <w:sz w:val="18"/>
                <w:szCs w:val="18"/>
                <w:color w:val="auto"/>
              </w:rPr>
              <w:t>Cash flow information is presented below:</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3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For the year ended July 31, 2020</w:t>
            </w:r>
          </w:p>
        </w:tc>
        <w:tc>
          <w:tcPr>
            <w:tcW w:w="0" w:type="dxa"/>
            <w:vAlign w:val="bottom"/>
          </w:tcPr>
          <w:p>
            <w:pPr>
              <w:spacing w:after="0"/>
              <w:rPr>
                <w:sz w:val="1"/>
                <w:szCs w:val="1"/>
                <w:color w:val="auto"/>
              </w:rPr>
            </w:pPr>
          </w:p>
        </w:tc>
      </w:tr>
      <w:tr>
        <w:trPr>
          <w:trHeight w:val="182"/>
        </w:trPr>
        <w:tc>
          <w:tcPr>
            <w:tcW w:w="64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w w:val="96"/>
              </w:rPr>
              <w:t>Cash paid for amounts included in the measurement of lease liabilities for operating</w:t>
            </w:r>
          </w:p>
        </w:tc>
        <w:tc>
          <w:tcPr>
            <w:tcW w:w="220" w:type="dxa"/>
            <w:vAlign w:val="bottom"/>
            <w:gridSpan w:val="3"/>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leases:</w:t>
            </w:r>
          </w:p>
        </w:tc>
        <w:tc>
          <w:tcPr>
            <w:tcW w:w="3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cash flows</w:t>
            </w:r>
          </w:p>
        </w:tc>
        <w:tc>
          <w:tcPr>
            <w:tcW w:w="3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41,636</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rPr>
                <w:sz w:val="18"/>
                <w:szCs w:val="18"/>
                <w:color w:val="auto"/>
              </w:rPr>
            </w:pPr>
          </w:p>
        </w:tc>
        <w:tc>
          <w:tcPr>
            <w:tcW w:w="220" w:type="dxa"/>
            <w:vAlign w:val="bottom"/>
            <w:gridSpan w:val="3"/>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gridSpan w:val="6"/>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 for financing</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leases:</w:t>
            </w: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3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Financing cash flows</w:t>
            </w:r>
          </w:p>
        </w:tc>
        <w:tc>
          <w:tcPr>
            <w:tcW w:w="3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Prior to the adoption of ASC 842 – Leases, the following was disclosed in our Annual Report on Form 10-K for the fiscal year ended July 31, 2019. Ferrellgas, L.P.’s contractual operating lease commitments and buyout obligations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13"/>
          </w:tcPr>
          <w:p>
            <w:pPr>
              <w:ind w:left="160"/>
              <w:spacing w:after="0"/>
              <w:rPr>
                <w:sz w:val="20"/>
                <w:szCs w:val="20"/>
                <w:color w:val="auto"/>
              </w:rPr>
            </w:pPr>
            <w:r>
              <w:rPr>
                <w:rFonts w:ascii="Arial" w:cs="Arial" w:eastAsia="Arial" w:hAnsi="Arial"/>
                <w:sz w:val="14"/>
                <w:szCs w:val="14"/>
                <w:b w:val="1"/>
                <w:bCs w:val="1"/>
                <w:color w:val="auto"/>
                <w:w w:val="95"/>
              </w:rPr>
              <w:t>Future minimum rental and buyout amounts by fiscal year</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Thereafter</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17,414</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lease buyouts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4,371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6,421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3,527</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14,433</w:t>
            </w:r>
          </w:p>
        </w:tc>
      </w:tr>
    </w:tbl>
    <w:p>
      <w:pPr>
        <w:spacing w:after="0" w:line="200" w:lineRule="exact"/>
        <w:rPr>
          <w:sz w:val="20"/>
          <w:szCs w:val="20"/>
          <w:color w:val="auto"/>
        </w:rPr>
      </w:pP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Rental expense under these leases totaled $53.8 million and $50.7 million for fiscal 2019 and 2018, respectively.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Prior to the adoption of ASC 842 – Leases, the following was disclosed in our Annual Report on Form 10-K for the fiscal year ended July 31, 2019. This cease use liability was reported under ASC 420 – Exit or disposal cost obligations previously and is now reported under ASC 842 – Leases. The prior year table is included below for comparative purposes:</w:t>
      </w:r>
    </w:p>
    <w:tbl>
      <w:tblPr>
        <w:tblLayout w:type="fixed"/>
        <w:tblInd w:w="4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Contract exit</w:t>
            </w:r>
          </w:p>
        </w:tc>
      </w:tr>
      <w:tr>
        <w:trPr>
          <w:trHeight w:val="17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costs</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July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11,804</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and other</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b w:val="1"/>
                <w:bCs w:val="1"/>
                <w:color w:val="auto"/>
              </w:rPr>
              <w:t>July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2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hanging="430"/>
        <w:spacing w:after="0"/>
        <w:tabs>
          <w:tab w:leader="none" w:pos="4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dispositions and other significant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Business combinations are accounted for under the acquisition method of accounting and the assets acquired and liabilities assumed are recorded at their estimated fair market values as of the acquisition dates. The results of operations are included in the consolidated statements of operations from the date of acquisition. The pro forma effect of these transactions was not material to Ferrellgas, L.P.’s balance sheets or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Propane operations and related equipment sales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During fiscal 2020, Ferrellgas acquired propane distribution assets, primarily of independent distributors, with an aggregate value of $11.2 million in the following transactions:</w:t>
      </w:r>
    </w:p>
    <w:p>
      <w:pPr>
        <w:spacing w:after="0" w:line="170" w:lineRule="exact"/>
        <w:rPr>
          <w:sz w:val="20"/>
          <w:szCs w:val="20"/>
          <w:color w:val="auto"/>
        </w:rPr>
      </w:pPr>
    </w:p>
    <w:p>
      <w:pPr>
        <w:ind w:left="1020" w:hanging="322"/>
        <w:spacing w:after="0"/>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Golden State Propane, Inc., based in California, acquired in August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C.F. Van Duzer Gas Services, Inc., based in New York, acquired in October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Lee Propane of Pennington Gap, Inc., based in Virginia, acquired in June 2020;</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During fiscal 2019, Ferrellgas acquired propane distribution assets, primarily of independent distributors, with an aggregate value of $15.2 million in the following transactions:</w:t>
      </w:r>
    </w:p>
    <w:p>
      <w:pPr>
        <w:spacing w:after="0" w:line="170" w:lineRule="exact"/>
        <w:rPr>
          <w:sz w:val="20"/>
          <w:szCs w:val="20"/>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Salathe Gas Co., based in Louisiana, acquired September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North Star Exchange, Inc., based in Indiana, acquired October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Wylie LP Gas Inc., based in Texas, acquired October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Co-op Butane Inc., based in Louisiana, acquired in December 2018;</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American Propane, based in Oklahoma, acquired January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Reliable Propane Inc., based in Missouri, acquired in February 2019;</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AAA Propane, Inc., based in Colorado, acquired in June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During fiscal 2018, Ferrellgas, L.P. acquired propane distribution assets with an aggregate value of $20.6 million in the following transactions:</w:t>
      </w:r>
    </w:p>
    <w:p>
      <w:pPr>
        <w:spacing w:after="0" w:line="170" w:lineRule="exact"/>
        <w:rPr>
          <w:sz w:val="20"/>
          <w:szCs w:val="20"/>
          <w:color w:val="auto"/>
        </w:rPr>
      </w:pPr>
    </w:p>
    <w:p>
      <w:pPr>
        <w:ind w:left="1020" w:hanging="322"/>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Lindsey Propane LLC, based in Tennessee, acquired August 2017;</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Sevier County Propane, based in Tennessee, acquired August 2017;</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Service Plus Propane, Inc., based in Virginia, acquired September 2017;</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Tapper Propane, Inc., based in Michigan, acquired November 2017; and</w:t>
      </w:r>
    </w:p>
    <w:p>
      <w:pPr>
        <w:spacing w:after="0" w:line="225" w:lineRule="exact"/>
        <w:rPr>
          <w:rFonts w:ascii="Arial" w:cs="Arial" w:eastAsia="Arial" w:hAnsi="Arial"/>
          <w:sz w:val="18"/>
          <w:szCs w:val="18"/>
          <w:color w:val="auto"/>
        </w:rPr>
      </w:pPr>
    </w:p>
    <w:p>
      <w:pPr>
        <w:ind w:left="700" w:right="3179" w:hanging="2"/>
        <w:spacing w:after="0" w:line="566" w:lineRule="auto"/>
        <w:tabs>
          <w:tab w:leader="none" w:pos="102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Diamond Propane LLC, based in New York, acquired June 2018. These acquisitions were funded as follows on their dates of acquisition:</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600" w:type="dxa"/>
            <w:vAlign w:val="bottom"/>
            <w:tcBorders>
              <w:bottom w:val="single" w:sz="8" w:color="auto"/>
            </w:tcBorders>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net of cash acquired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18,141</w:t>
            </w: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Issuance of liabilities and other costs and considerations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fair value of transactions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15,201</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20,567</w:t>
            </w: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679" w:firstLine="648"/>
        <w:spacing w:after="0" w:line="342" w:lineRule="auto"/>
        <w:rPr>
          <w:sz w:val="20"/>
          <w:szCs w:val="20"/>
          <w:color w:val="auto"/>
        </w:rPr>
      </w:pPr>
      <w:r>
        <w:rPr>
          <w:rFonts w:ascii="Arial" w:cs="Arial" w:eastAsia="Arial" w:hAnsi="Arial"/>
          <w:sz w:val="16"/>
          <w:szCs w:val="16"/>
          <w:color w:val="auto"/>
        </w:rPr>
        <w:t>The aggregate fair values, for the acquisitions in propane operations and related equipment sales reporting segment, were allocated as follows, including any adjustments identified during the measurement period:</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600" w:type="dxa"/>
            <w:vAlign w:val="bottom"/>
            <w:tcBorders>
              <w:bottom w:val="single" w:sz="8" w:color="auto"/>
            </w:tcBorders>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Customer tanks, buildings, land and other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10,022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7,758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Aggregate fair value of net assets acquired</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20,567</w:t>
            </w: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The estimated fair values and useful lives of assets acquired during fiscal 2020 are based on a preliminary valuation and are subject to final valuation adjustments. Ferrellgas, L.P. intends to continue its analysis of the net assets of these transactions to determine the final allocation of the total purchase price to the various assets and liabilities acquired. The estimated fair values and useful lives of assets acquired during fiscal 2019 and 2018 are based on internal valuations and included only minor adjustments during the 12 month period after the date of acquisition. Due to the immateriality of these adjustments, Ferrellgas, L.P. did not retrospectively adjust the consolidated statements of operations for those measurement period adjustments.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Propane operations and related equipment sales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During July 2018, Ferrellgas, L.P. completed the sale of a group of assets encompassing an immaterial reporting unit within our Propane operations segment for approximately $26.6 million in cash. For the year ended July 31, 2018, “Loss on asset sales and disposals” includes a loss of $15.2 million related to this sale. The assets sold consist primarily of working capital and equipment.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Midstream operations</w:t>
      </w:r>
    </w:p>
    <w:p>
      <w:pPr>
        <w:spacing w:after="0" w:line="225"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During July 2018, Ferrellgas, L.P. completed the sale of a subsidiary and a group of assets within the Midstream operations segment for approximately $57.0 million in cash. The subsidiary sold was Bridger Environmental LLC, which encompasses all saltwater disposal activities previously operated by Ferrellgas Partners. The group of assets sold includes all assets, excluding working capital, associated with the crude oil trucking operations previously operated by Ferrellgas Partners. Additionally, the sale included two crude oil injection terminals. In separate transactions, the remaining assets of the Bridger Terminal business were sold to various parties. The largest of these assets, the Swan Ranch Terminal, was sold for $8.0 million in cash. For the year ended July 31, 2018, “Loss on asset sales and disposals” includes a loss of $120.2 million related to these sales.</w:t>
      </w:r>
    </w:p>
    <w:p>
      <w:pPr>
        <w:spacing w:after="0" w:line="178"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Additionally, during fiscal 2018, Ferrellgas, L.P. sold all 1,292 rail cars utilized in the Midstream operations segment for approximately $51.3 million in cash. For the year ended July 31, 2018, “Loss on asset sales and disposals” includes a loss of $36.8 million related to the sale of these rail cars. Proceeds from the transaction were used to reduce outstanding debt on Ferrellgas, L.P.’s previous senior secured credit facility. During fiscal 2018, Ferrellgas, L.P. completed the sale of Bridger Energy, LLC, included in the Midstream operations segment, in exchange for an $8.5 million secured promissory note due in May 2020 which was fully paid on February 20, 2019. For the year ended July 31, 2018, “Loss on asset sales and disposals” includes a loss of $4.0 million related to this sale.</w:t>
      </w:r>
    </w:p>
    <w:p>
      <w:pPr>
        <w:spacing w:after="0" w:line="166"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The combined results from operations of these various Midstream dispositions in our Consolidated Statements of Operations includes losses before income taxes for the year ended July 31, 2018 of $55.4 million. The combined losses before income taxes attributable to Ferrellgas for the year ended July 31, 2018 was $54.8 million.</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“Loss on asset sales and disposals” consists of:</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13"/>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5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Propane-related accessories reporting unit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15,194</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Midstream trucking, water disposal &amp; terminal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120,240</w:t>
            </w: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Midstream railcars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36,762</w:t>
            </w: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Bridger Energy</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r>
      <w:tr>
        <w:trPr>
          <w:trHeight w:val="216"/>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w:t>
            </w: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asset sales and disposals</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187,399</w:t>
            </w:r>
          </w:p>
        </w:tc>
      </w:tr>
      <w:tr>
        <w:trPr>
          <w:trHeight w:val="20"/>
        </w:trPr>
        <w:tc>
          <w:tcPr>
            <w:tcW w:w="5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40" w:hanging="390"/>
        <w:spacing w:after="0"/>
        <w:tabs>
          <w:tab w:leader="none" w:pos="4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distribution of available cash</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To the extent it is not precluded from doing so by a debt covenant or other restriction, Ferrellgas, L.P. makes quarterly cash distributions of all of its “available cash.” Available cash is defined in the partnership agreement of Ferrellgas, L.P. as, generally, the sum of its consolidated cash receipts less consolidated cash disbursements and net changes in reserves established by the general partner for future requirements. Reserves are retained in order to provide for the proper conduct of Ferrellgas, L.P.’s business, or to provide funds for distributions with respect to any one or more of the next four fiscal quarters. Distributions are made within 45 days after the end of each fiscal quarter ending October, January, April and July.</w:t>
      </w:r>
    </w:p>
    <w:p>
      <w:pPr>
        <w:spacing w:after="0" w:line="195"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Any distributions by Ferrellgas, L.P. in an amount equal to 100% of its available cash, as defined in its partnership agreement, will be made approximately 99% to Ferrellgas Partners and approximately 1% to the general partner.</w:t>
      </w:r>
    </w:p>
    <w:p>
      <w:pPr>
        <w:spacing w:after="0" w:line="124"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See Note I – Debt for additional disclosures related to Ferrellgas, L.P.’s inability to make quarterly cash distributions.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5019" w:hanging="650"/>
        <w:spacing w:after="0" w:line="569" w:lineRule="auto"/>
        <w:tabs>
          <w:tab w:leader="none" w:pos="46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financial statement information </w:t>
      </w:r>
      <w:r>
        <w:rPr>
          <w:rFonts w:ascii="Arial" w:cs="Arial" w:eastAsia="Arial" w:hAnsi="Arial"/>
          <w:sz w:val="16"/>
          <w:szCs w:val="16"/>
          <w:color w:val="auto"/>
        </w:rPr>
        <w:t>Inventories consist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July 31, 2020</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2019</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Propane gas and related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66,001</w:t>
            </w: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Appliances, parts and supplies, and other</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14,453</w:t>
            </w:r>
          </w:p>
        </w:tc>
      </w:tr>
      <w:tr>
        <w:trPr>
          <w:trHeight w:val="209"/>
        </w:trPr>
        <w:tc>
          <w:tcPr>
            <w:tcW w:w="6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80,454</w:t>
            </w: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In addition to inventories on hand, Ferrellgas, L.P. enters into contracts to take delivery of propane for supply procurement purposes with terms that generally do not exceed 36 months. Most of these contracts call for payment based on market prices at the date of delivery. As of July 31, 2020, Ferrellgas, L.P. had committed, for supply procurement purposes, to take delivery of approximately 1.0 million gallons of propane at fixed prices.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net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lives</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2020</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2019</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Land improvements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Vehicles, including transport trailers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111,283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Bulk equipment and district facilities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Tanks, cylinders and customer equipment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779,827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111,838</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n/a</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r>
      <w:tr>
        <w:trPr>
          <w:trHeight w:val="210"/>
        </w:trPr>
        <w:tc>
          <w:tcPr>
            <w:tcW w:w="5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1,255,518</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658,795</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596,723</w:t>
            </w:r>
          </w:p>
        </w:tc>
      </w:tr>
      <w:tr>
        <w:trPr>
          <w:trHeight w:val="20"/>
        </w:trPr>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Depreciation expense totaled $64.5 million, $60.7 million and $67.1 million for fiscal 2020, 2019 and 2018, respectively.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0" w:type="dxa"/>
            <w:vAlign w:val="bottom"/>
            <w:gridSpan w:val="5"/>
          </w:tcPr>
          <w:p>
            <w:pPr>
              <w:ind w:left="100"/>
              <w:spacing w:after="0"/>
              <w:rPr>
                <w:sz w:val="20"/>
                <w:szCs w:val="20"/>
                <w:color w:val="auto"/>
              </w:rPr>
            </w:pPr>
            <w:r>
              <w:rPr>
                <w:rFonts w:ascii="Arial" w:cs="Arial" w:eastAsia="Arial" w:hAnsi="Arial"/>
                <w:sz w:val="14"/>
                <w:szCs w:val="14"/>
                <w:b w:val="1"/>
                <w:bCs w:val="1"/>
                <w:color w:val="auto"/>
              </w:rPr>
              <w:t>July 31, 2020</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2019</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Broker margin deposit assets</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640"/>
              <w:spacing w:after="0"/>
              <w:rPr>
                <w:sz w:val="20"/>
                <w:szCs w:val="20"/>
                <w:color w:val="auto"/>
              </w:rPr>
            </w:pPr>
            <w:r>
              <w:rPr>
                <w:rFonts w:ascii="Arial" w:cs="Arial" w:eastAsia="Arial" w:hAnsi="Arial"/>
                <w:sz w:val="18"/>
                <w:szCs w:val="18"/>
                <w:color w:val="auto"/>
              </w:rPr>
              <w:t>Other assets, net consist of the following:</w:t>
            </w: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July 31, 2020</w:t>
            </w:r>
          </w:p>
        </w:tc>
        <w:tc>
          <w:tcPr>
            <w:tcW w:w="8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July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Notes receivable, less current portion and allowance</w:t>
            </w:r>
          </w:p>
        </w:tc>
        <w:tc>
          <w:tcPr>
            <w:tcW w:w="28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Other assets, net</w:t>
            </w:r>
          </w:p>
        </w:tc>
        <w:tc>
          <w:tcPr>
            <w:tcW w:w="28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74,748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0" w:type="dxa"/>
            <w:vAlign w:val="bottom"/>
            <w:gridSpan w:val="3"/>
          </w:tcPr>
          <w:p>
            <w:pPr>
              <w:jc w:val="right"/>
              <w:ind w:right="2327"/>
              <w:spacing w:after="0"/>
              <w:rPr>
                <w:sz w:val="20"/>
                <w:szCs w:val="20"/>
                <w:color w:val="auto"/>
              </w:rPr>
            </w:pPr>
            <w:r>
              <w:rPr>
                <w:rFonts w:ascii="Arial" w:cs="Arial" w:eastAsia="Arial" w:hAnsi="Arial"/>
                <w:sz w:val="18"/>
                <w:szCs w:val="18"/>
                <w:color w:val="auto"/>
              </w:rPr>
              <w:t>F-69</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current liabilities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July 31, 2020</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2019</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Customer deposits and advances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24,686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Accrued insurance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18,524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Price risk management liabilities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42,989</w:t>
            </w:r>
          </w:p>
        </w:tc>
      </w:tr>
      <w:tr>
        <w:trPr>
          <w:trHeight w:val="210"/>
        </w:trPr>
        <w:tc>
          <w:tcPr>
            <w:tcW w:w="6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148,136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134,303</w:t>
            </w: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Shipping and handling expenses are classified in the following consolidated statements of operations line items: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3"/>
          </w:tcPr>
          <w:p>
            <w:pPr>
              <w:ind w:left="440"/>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 personnel, vehicle, plant and other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219,598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215,780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195,646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 equipment lease expense</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261,973</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252,914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226,358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20"/>
              <w:spacing w:after="0"/>
              <w:rPr>
                <w:sz w:val="20"/>
                <w:szCs w:val="20"/>
                <w:color w:val="auto"/>
              </w:rPr>
            </w:pPr>
            <w:r>
              <w:rPr>
                <w:rFonts w:ascii="Arial" w:cs="Arial" w:eastAsia="Arial" w:hAnsi="Arial"/>
                <w:sz w:val="18"/>
                <w:szCs w:val="18"/>
                <w:color w:val="auto"/>
              </w:rPr>
              <w:t>Cash and cash equivalents consist of the following:</w:t>
            </w: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July 31,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July 31, 2019</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237,996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cash (1)</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95,759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333,755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right="299" w:hanging="326"/>
        <w:spacing w:after="0" w:line="275" w:lineRule="auto"/>
        <w:tabs>
          <w:tab w:leader="none" w:pos="7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$95.8 million of restricted cash includes $78.2 million of pledged cash collateral for letters of credit outstanding, an $11.5 million cash deposit made with the administrative agent under the terminated Senior Secured Credit Facility, which may be used by the administrative agent to pay contingent obligations arising under the Financing Agreement that governed the Senior Secured Credit Facility, and $6.1 million of additional pledged collateral. For additional discussion see Note I – Debt.</w:t>
      </w:r>
    </w:p>
    <w:p>
      <w:pPr>
        <w:spacing w:after="0" w:line="17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For purposes of the consolidated statements of cash flows, Ferrellgas, L.P. considers cash equivalents to include all highly liquid debt instruments purchased with an original maturity of three months or less. Certain cash flow and significant non-cash activities are presented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For the year ended July 31,</w:t>
            </w:r>
          </w:p>
        </w:tc>
        <w:tc>
          <w:tcPr>
            <w:tcW w:w="6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for: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132,006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136,106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128,479</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Liability incurred in connection with Term Loan amendment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Liabilities incurred in connection with acquisitions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accruals for property, plant and equipment additions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Lease liabilities arising from operating right-of-use assets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14,938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finance right-of-use assets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877"/>
        </w:trPr>
        <w:tc>
          <w:tcPr>
            <w:tcW w:w="20" w:type="dxa"/>
            <w:vAlign w:val="bottom"/>
          </w:tcPr>
          <w:p>
            <w:pPr>
              <w:spacing w:after="0"/>
              <w:rPr>
                <w:sz w:val="24"/>
                <w:szCs w:val="24"/>
                <w:color w:val="auto"/>
              </w:rPr>
            </w:pPr>
          </w:p>
        </w:tc>
        <w:tc>
          <w:tcPr>
            <w:tcW w:w="5280" w:type="dxa"/>
            <w:vAlign w:val="bottom"/>
          </w:tcPr>
          <w:p>
            <w:pPr>
              <w:ind w:left="4280"/>
              <w:spacing w:after="0"/>
              <w:rPr>
                <w:sz w:val="20"/>
                <w:szCs w:val="20"/>
                <w:color w:val="auto"/>
              </w:rPr>
            </w:pPr>
            <w:r>
              <w:rPr>
                <w:rFonts w:ascii="Arial" w:cs="Arial" w:eastAsia="Arial" w:hAnsi="Arial"/>
                <w:sz w:val="18"/>
                <w:szCs w:val="18"/>
                <w:color w:val="auto"/>
              </w:rPr>
              <w:t>F-70</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2979" w:hanging="650"/>
        <w:spacing w:after="0" w:line="569" w:lineRule="auto"/>
        <w:tabs>
          <w:tab w:leader="none" w:pos="45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and notes receivable, net and accounts receivable securitization </w:t>
      </w:r>
      <w:r>
        <w:rPr>
          <w:rFonts w:ascii="Arial" w:cs="Arial" w:eastAsia="Arial" w:hAnsi="Arial"/>
          <w:sz w:val="16"/>
          <w:szCs w:val="16"/>
          <w:color w:val="auto"/>
        </w:rPr>
        <w:t>Accounts and notes receivable, net consist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July 31, 2019</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pledged as collateral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103,703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Accounts receivable not pledged as collateral (including other reserves)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09"/>
        </w:trPr>
        <w:tc>
          <w:tcPr>
            <w:tcW w:w="6560" w:type="dxa"/>
            <w:vAlign w:val="bottom"/>
          </w:tcPr>
          <w:p>
            <w:pPr>
              <w:ind w:left="100"/>
              <w:spacing w:after="0"/>
              <w:rPr>
                <w:sz w:val="20"/>
                <w:szCs w:val="20"/>
                <w:color w:val="auto"/>
              </w:rPr>
            </w:pPr>
            <w:r>
              <w:rPr>
                <w:rFonts w:ascii="Arial" w:cs="Arial" w:eastAsia="Arial" w:hAnsi="Arial"/>
                <w:sz w:val="18"/>
                <w:szCs w:val="18"/>
                <w:color w:val="auto"/>
              </w:rPr>
              <w:t>Accounts and notes receivable,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107,596</w:t>
            </w: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At July 31, 2020, $103.7 million of trade accounts receivable were pledged as collateral, but Ferrellgas, L.P. had no outstanding collateralized notes payable due to a commercial paper conduit. At July 31, 2019, $106.1 million of trade accounts receivable were pledged as collateral against $62.0 million of collateralized notes payable due to the commercial paper conduit. These accounts receivable pledged as collateral are bankruptcy remote from Ferrellgas, L.P. Ferrellgas, L.P. does not provide any guarantee or similar support to the collectability of these accounts receivable pledged as collateral.</w:t>
      </w:r>
    </w:p>
    <w:p>
      <w:pPr>
        <w:spacing w:after="0" w:line="16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As of July 31, 2020, Ferrellgas, L.P. had received no cash proceeds from trade accounts receivables securitized, with $11.0 million remaining capacity to receive additional proceeds or issue letters of credit. As of July 31, 2019, Ferrellgas, L.P. had received cash proceeds of $62.0 million from trade accounts receivables securitized, with no remaining capacity to receive additional proceeds. Borrowings under the accounts receivable securitization facility had a weighted average interest rate of 5.5% as of July 31, 2019.</w:t>
      </w:r>
    </w:p>
    <w:p>
      <w:pPr>
        <w:spacing w:after="0" w:line="188"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As discussed previously, on June 25, 2018, Ferrellgas, L.P. and Mr. Ballengee entered into an Omnibus Agreement (the “Omnibus Agreement”) that, among other things, included an executed unsecured promissory note in favor of the operating partnership with an original principal amount of $18.3 million (the “Revised Jamex Promissory Note”). On July 1, 2020, Mr. Ballengee defaulted on the Revised Jamex Promissory Note by failing to make the first payment in the amount of $2.5 million. As a result, as of July 31, 2020, Ferrellgas, L.P. recorded a bad debt reserve against $17.3 million of the Revised Jamex Promissory Note and is pursuing collections from Mr. Ballengee. As of July 31, 2020, $12.5 million was classified as current notes receivable, all of which is reserved.</w:t>
      </w:r>
    </w:p>
    <w:p>
      <w:pPr>
        <w:spacing w:after="0" w:line="177" w:lineRule="exact"/>
        <w:rPr>
          <w:sz w:val="20"/>
          <w:szCs w:val="20"/>
          <w:color w:val="auto"/>
        </w:rPr>
      </w:pPr>
    </w:p>
    <w:p>
      <w:pPr>
        <w:ind w:left="60" w:right="119" w:firstLine="648"/>
        <w:spacing w:after="0" w:line="283" w:lineRule="auto"/>
        <w:rPr>
          <w:sz w:val="20"/>
          <w:szCs w:val="20"/>
          <w:color w:val="auto"/>
        </w:rPr>
      </w:pPr>
      <w:r>
        <w:rPr>
          <w:rFonts w:ascii="Arial" w:cs="Arial" w:eastAsia="Arial" w:hAnsi="Arial"/>
          <w:sz w:val="16"/>
          <w:szCs w:val="16"/>
          <w:color w:val="auto"/>
        </w:rPr>
        <w:t>The agreement governing the accounts receivable securitization facility (the “Purchase Agreement”) requires the operating partnership to maintain a fixed charge coverage ratio of not less than 1.00x and a senior secured leverage ratio of not greater than 3.00x. The operating partnership was in compliance with these financial ratio requirements as of July 31, 2020. However, if at any time the operating partnership is not in compliance with these financial ratio requirements, Ferrellgas will be unable to access the facility for working capital or other cash requirements and the facility may be terminated. On April 10, 2020, the operating partnership entered into a ninth amendment to the Purchase Agreement, which amended and restated the amortization event related to the senior secured leverage ratio of the operating partnership and the definition of “Consolidated Total Secured Debt” in the Purchase Agreement to, among other matters, provide that obligations with respect to cash collateralized letters of credit are excluded from Consolidated Total Secured Debt and, therefore, from the calculation of the senior secured leverage ratio, beginning with the fiscal quarter ended January 31, 2020. The ninth amendment also amended the Purchase Agreement to (i) increase the interest rate applicable margin by</w:t>
      </w:r>
    </w:p>
    <w:p>
      <w:pPr>
        <w:spacing w:after="0" w:line="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0.5% to 2.5% (or 4.5% while an amortization event under the Purchase Agreement exists) and (ii) increase the interest rate floors for the alternate base rate and LIBOR from 0.0% to 1.0%. This facility matures in May 2021 and includes an option, at Ferrellgas’ request and consent, for the purchasers in their sole discretion to extend the facility for up to an additional three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0"/>
        <w:spacing w:after="0"/>
        <w:tabs>
          <w:tab w:leader="none" w:pos="5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intangible assets, net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July 31, 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$ 247,195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247,195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$ 247,195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Customer related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$ 446,486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(397,843)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$ 442,652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(390,052)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80"/>
              <w:spacing w:after="0"/>
              <w:rPr>
                <w:sz w:val="20"/>
                <w:szCs w:val="20"/>
                <w:color w:val="auto"/>
              </w:rPr>
            </w:pPr>
            <w:r>
              <w:rPr>
                <w:rFonts w:ascii="Arial" w:cs="Arial" w:eastAsia="Arial" w:hAnsi="Arial"/>
                <w:sz w:val="18"/>
                <w:szCs w:val="18"/>
                <w:color w:val="auto"/>
              </w:rPr>
              <w:t>Non-compete agreements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25,582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476,318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(423,290)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53,028</w:t>
            </w: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471,747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(414,210)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Trade names &amp; trademarks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51,020</w:t>
            </w:r>
          </w:p>
        </w:tc>
        <w:tc>
          <w:tcPr>
            <w:tcW w:w="0" w:type="dxa"/>
            <w:vAlign w:val="bottom"/>
          </w:tcPr>
          <w:p>
            <w:pPr>
              <w:spacing w:after="0"/>
              <w:rPr>
                <w:sz w:val="1"/>
                <w:szCs w:val="1"/>
                <w:color w:val="auto"/>
              </w:rPr>
            </w:pPr>
          </w:p>
        </w:tc>
      </w:tr>
      <w:tr>
        <w:trPr>
          <w:trHeight w:val="209"/>
        </w:trPr>
        <w:tc>
          <w:tcPr>
            <w:tcW w:w="2920" w:type="dxa"/>
            <w:vAlign w:val="bottom"/>
            <w:gridSpan w:val="3"/>
          </w:tcPr>
          <w:p>
            <w:pPr>
              <w:spacing w:after="0"/>
              <w:rPr>
                <w:sz w:val="20"/>
                <w:szCs w:val="20"/>
                <w:color w:val="auto"/>
              </w:rPr>
            </w:pPr>
            <w:r>
              <w:rPr>
                <w:rFonts w:ascii="Arial" w:cs="Arial" w:eastAsia="Arial" w:hAnsi="Arial"/>
                <w:sz w:val="18"/>
                <w:szCs w:val="18"/>
                <w:color w:val="auto"/>
              </w:rPr>
              <w:t>Total intangible assets, net</w:t>
            </w:r>
          </w:p>
        </w:tc>
        <w:tc>
          <w:tcPr>
            <w:tcW w:w="3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$ 527,339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(423,290)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104,049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$ 522,767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(414,210)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80" w:type="dxa"/>
            <w:vAlign w:val="bottom"/>
            <w:gridSpan w:val="7"/>
          </w:tcPr>
          <w:p>
            <w:pPr>
              <w:jc w:val="right"/>
              <w:ind w:right="90"/>
              <w:spacing w:after="0"/>
              <w:rPr>
                <w:sz w:val="20"/>
                <w:szCs w:val="20"/>
                <w:color w:val="auto"/>
              </w:rPr>
            </w:pPr>
            <w:r>
              <w:rPr>
                <w:rFonts w:ascii="Arial" w:cs="Arial" w:eastAsia="Arial" w:hAnsi="Arial"/>
                <w:sz w:val="18"/>
                <w:szCs w:val="18"/>
                <w:color w:val="auto"/>
              </w:rPr>
              <w:t>Changes in the carrying amount of goodwill are as follows: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Propane operations and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related equipment sales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July 31, 2018</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jc w:val="center"/>
              <w:ind w:right="279"/>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b w:val="1"/>
                <w:bCs w:val="1"/>
                <w:color w:val="auto"/>
              </w:rPr>
              <w:t>Balance July 31, 2019</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31, 2020</w:t>
            </w: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right="27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Customer related intangible assets have estimated lives of 15 years and non-compete agreements and other intangible assets have estimated lives ranging from five to 10 years. Ferrellgas, L.P. intends to utilize all acquired trademarks and trade names and does not believe there are any legal, regulatory, contractual, competitive, economical or other factors that would limit their useful lives. Therefore, trademarks and trade names have indefinite useful lives. Customer related intangibles carry a weighted average life of 15 years and non-compete agreements and other intangibles carry a weighted average life of ten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Aggregate amortization expense related to intangible assets, net: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40" w:type="dxa"/>
            <w:vAlign w:val="bottom"/>
            <w:gridSpan w:val="2"/>
          </w:tcPr>
          <w:p>
            <w:pPr>
              <w:ind w:left="900"/>
              <w:spacing w:after="0"/>
              <w:rPr>
                <w:sz w:val="20"/>
                <w:szCs w:val="20"/>
                <w:color w:val="auto"/>
              </w:rPr>
            </w:pPr>
            <w:r>
              <w:rPr>
                <w:rFonts w:ascii="Arial" w:cs="Arial" w:eastAsia="Arial" w:hAnsi="Arial"/>
                <w:sz w:val="14"/>
                <w:szCs w:val="14"/>
                <w:b w:val="1"/>
                <w:bCs w:val="1"/>
                <w:color w:val="auto"/>
              </w:rPr>
              <w:t>For the year ended July 31,</w:t>
            </w: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9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2019</w:t>
            </w:r>
          </w:p>
        </w:tc>
        <w:tc>
          <w:tcPr>
            <w:tcW w:w="3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14,581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31,345</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20" w:type="dxa"/>
            <w:vAlign w:val="bottom"/>
          </w:tcPr>
          <w:p>
            <w:pPr>
              <w:jc w:val="right"/>
              <w:ind w:right="2630"/>
              <w:spacing w:after="0"/>
              <w:rPr>
                <w:sz w:val="20"/>
                <w:szCs w:val="20"/>
                <w:color w:val="auto"/>
              </w:rPr>
            </w:pPr>
            <w:r>
              <w:rPr>
                <w:rFonts w:ascii="Arial" w:cs="Arial" w:eastAsia="Arial" w:hAnsi="Arial"/>
                <w:sz w:val="18"/>
                <w:szCs w:val="18"/>
                <w:color w:val="auto"/>
              </w:rPr>
              <w:t>F-72</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amortization expense: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w:t>
            </w:r>
          </w:p>
        </w:tc>
        <w:tc>
          <w:tcPr>
            <w:tcW w:w="3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8,711</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2022</w:t>
            </w:r>
          </w:p>
        </w:tc>
        <w:tc>
          <w:tcPr>
            <w:tcW w:w="3100" w:type="dxa"/>
            <w:vAlign w:val="bottom"/>
          </w:tcPr>
          <w:p>
            <w:pPr>
              <w:jc w:val="right"/>
              <w:spacing w:after="0"/>
              <w:rPr>
                <w:sz w:val="20"/>
                <w:szCs w:val="20"/>
                <w:color w:val="auto"/>
              </w:rPr>
            </w:pPr>
            <w:r>
              <w:rPr>
                <w:rFonts w:ascii="Arial" w:cs="Arial" w:eastAsia="Arial" w:hAnsi="Arial"/>
                <w:sz w:val="18"/>
                <w:szCs w:val="18"/>
                <w:color w:val="auto"/>
              </w:rPr>
              <w:t>7,322</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2024</w:t>
            </w:r>
          </w:p>
        </w:tc>
        <w:tc>
          <w:tcPr>
            <w:tcW w:w="3100" w:type="dxa"/>
            <w:vAlign w:val="bottom"/>
          </w:tcPr>
          <w:p>
            <w:pPr>
              <w:jc w:val="right"/>
              <w:spacing w:after="0"/>
              <w:rPr>
                <w:sz w:val="20"/>
                <w:szCs w:val="20"/>
                <w:color w:val="auto"/>
              </w:rPr>
            </w:pPr>
            <w:r>
              <w:rPr>
                <w:rFonts w:ascii="Arial" w:cs="Arial" w:eastAsia="Arial" w:hAnsi="Arial"/>
                <w:sz w:val="18"/>
                <w:szCs w:val="18"/>
                <w:color w:val="auto"/>
              </w:rPr>
              <w:t>6,720</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r>
    </w:tbl>
    <w:p>
      <w:pPr>
        <w:spacing w:after="0" w:line="211" w:lineRule="exact"/>
        <w:rPr>
          <w:sz w:val="20"/>
          <w:szCs w:val="20"/>
          <w:color w:val="auto"/>
        </w:rPr>
      </w:pPr>
    </w:p>
    <w:p>
      <w:pPr>
        <w:ind w:left="440" w:hanging="390"/>
        <w:spacing w:after="0"/>
        <w:tabs>
          <w:tab w:leader="none" w:pos="4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Prior to April 30, 2020, Ferrellgas, L.P. classified borrowings on the Revolving Facility portion of its Senior Secured Credit Facility (each, as defined below) as short-term because they were primarily used to fund working capital needs that management intended to pay down within the twelve month period following the balance sheet date. During the quarter ended April 30, 2020, Ferrellgas repaid all of the outstanding borrowings under its Senior Secured Credit Facility and terminated that facility, as discussed below. Accordingly, as of July 31, 2020, no amounts were classified as short-term borrowings. As of July 31, 2019, $43.0 million was classified as short-term borrowings. For further discussion see the “Senior secured notes due 2025 and senior secured credit facility” section below.</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July 31, 2020</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July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Unsecured senior notes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Fixed rate, 6.50%, due 2021 (1)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6.75%, due 2023 (2)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2"/>
          </w:tcPr>
          <w:p>
            <w:pPr>
              <w:spacing w:after="0" w:line="201" w:lineRule="exact"/>
              <w:rPr>
                <w:sz w:val="20"/>
                <w:szCs w:val="20"/>
                <w:color w:val="auto"/>
              </w:rPr>
            </w:pPr>
            <w:r>
              <w:rPr>
                <w:rFonts w:ascii="Arial" w:cs="Arial" w:eastAsia="Arial" w:hAnsi="Arial"/>
                <w:sz w:val="18"/>
                <w:szCs w:val="18"/>
                <w:color w:val="auto"/>
              </w:rPr>
              <w:t>Fixed rate, 6.75%, due 2022, net of unamortized premium of $937 and $1,633 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July 31, 2020 and 2019, respectively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475,937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476,633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Secured senior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Fixed rate, 10.00%, due 2025, net of unamortized premium of $3,573 at July 31, 2020 (4)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term loan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Variable interest rate, Term Loan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9.4% and 10.7% weighted average interest rate at July 31, 2020 and July 31, 2019,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 due 2020 to 2029, net of unamortized discount of $537 and $711 at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2020 and July 31, 2019, respectively</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Total debt, excluding unamortized debt issuance and other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2,184,074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1,757,595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issuance and other costs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502,095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1,646,396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1,457,004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3" w:lineRule="auto"/>
        <w:tabs>
          <w:tab w:leader="none" w:pos="3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During November 2010, Ferrellgas, L.P. issued $500.0 million aggregate principal amount of 6.50% senior notes due 2021.These notes are general unsecured senior obligations of Ferrellgas, L.P. and are (i) effectively junior to all existing and future senior secured indebtedness of Ferrellgas, L.P., to the extent of the value of the assets securing such debt, and (ii) structurally subordinated to all existing and future indebtedness and obligations of the Ferrellgas, L.P.’s subsidiaries. The senior notes bear interest from the date of issuance, payable semi-annually in arrears on May 1 and November 1 of each year. The outstanding principal amount is due on May 1, 2021.</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99" w:hanging="330"/>
        <w:spacing w:after="0" w:line="271" w:lineRule="auto"/>
        <w:tabs>
          <w:tab w:leader="none" w:pos="3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During June 2015, Ferrellgas, L.P. issued $500.0 million aggregate principal amount of 6.75% senior notes due 2023. These notes are general unsecured senior obligations of Ferrellgas, L.P. and certain subsidiaries and are (i) effectively junior to all existing and future senior secured indebtedness of Ferrellgas, L.P. and such subsidiaries, to the extent of the value of the assets securing such debt, and (ii) structurally subordinated to all existing and future indebtedness and obligations of any subsidiary of Ferrellgas, L.P. that is not a guarantor of these notes. The senior notes bear interest from the date of issuance, payable semi-annually in arrears on June 15 and December 15 of each year. The outstanding principal amount is due on June 15, 2023. Ferrellgas, L.P. would incur prepayment penalties if it were to repay the notes prior to June 15, 2021.</w:t>
      </w:r>
    </w:p>
    <w:p>
      <w:pPr>
        <w:spacing w:after="0" w:line="178" w:lineRule="exact"/>
        <w:rPr>
          <w:rFonts w:ascii="Arial" w:cs="Arial" w:eastAsia="Arial" w:hAnsi="Arial"/>
          <w:sz w:val="17"/>
          <w:szCs w:val="17"/>
          <w:color w:val="auto"/>
        </w:rPr>
      </w:pPr>
    </w:p>
    <w:p>
      <w:pPr>
        <w:ind w:left="380" w:right="139" w:hanging="330"/>
        <w:spacing w:after="0" w:line="272" w:lineRule="auto"/>
        <w:tabs>
          <w:tab w:leader="none" w:pos="3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During fiscal 2014, Ferrellgas, L.P. issued $475.0 million aggregate principal amount of 6.75% senior notes due 2022, $325.0 million of which was issued at par and $150.0 million of which was issued at 104% of par. These notes are general unsecured senior obligations of Ferrellgas, L.P. and are (i) effectively junior to all existing and future senior secured indebtedness of Ferrellgas, L.P., to the extent of the value of the assets securing such debt, and (ii) structurally subordinated to all existing and future indebtedness and obligations of Ferrellgas, L.P.’s subsidiaries. The senior notes bear interest from the date of issuance, payable semi-annually in arrears on January 15 and July 15 of each year. The outstanding principal amount is due on January 15, 2022.</w:t>
      </w:r>
    </w:p>
    <w:p>
      <w:pPr>
        <w:spacing w:after="0" w:line="177" w:lineRule="exact"/>
        <w:rPr>
          <w:rFonts w:ascii="Arial" w:cs="Arial" w:eastAsia="Arial" w:hAnsi="Arial"/>
          <w:sz w:val="17"/>
          <w:szCs w:val="17"/>
          <w:color w:val="auto"/>
        </w:rPr>
      </w:pPr>
    </w:p>
    <w:p>
      <w:pPr>
        <w:ind w:left="380" w:right="99" w:hanging="330"/>
        <w:spacing w:after="0" w:line="269" w:lineRule="auto"/>
        <w:tabs>
          <w:tab w:leader="none" w:pos="3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During April 2020, Ferrellgas, L.P. issued $700.0 million aggregate principal amount of 10.00% senior secured first lien notes due 2025, $575.0 million of which was issued at par and $125.0 million of which was issued at 103% of par. These notes are senior secured obligations of Ferrellgas, L.P. and the guarantors of such notes, including Ferrellgas Partners, the general partners of Ferrellgas, L.P. and certain subsidiaries, and are (i) effectively senior to all existing senior unsecured indebtedness of Ferrellgas, L.P. and the guarantors, to the extent of the value of the assets securing such debt, and (ii) structurally subordinated to all existing and future indebtedness and obligations of Ferrellgas Receivables, LLC, a special purpose subsidiary that does not guarantee the notes. The senior notes bear interest from the date of issuance, payable semiannually in arrears on April 15 and October 15 of each year. The operating partnership would incur prepayment penalties if it were to repay the notes prior to April 15, 2024. The outstanding principal amount is due on April 15, 2025.</w:t>
      </w:r>
    </w:p>
    <w:p>
      <w:pPr>
        <w:spacing w:after="0" w:line="185" w:lineRule="exact"/>
        <w:rPr>
          <w:rFonts w:ascii="Arial" w:cs="Arial" w:eastAsia="Arial" w:hAnsi="Arial"/>
          <w:sz w:val="17"/>
          <w:szCs w:val="17"/>
          <w:color w:val="auto"/>
        </w:rPr>
      </w:pPr>
    </w:p>
    <w:p>
      <w:pPr>
        <w:ind w:left="380" w:right="79" w:hanging="330"/>
        <w:spacing w:after="0" w:line="254" w:lineRule="auto"/>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During April 2020, Ferrellgas, L.P. used a portion of the net proceeds from the offering of its senior secured first lien notes due 2025 to (i) repay all $283.9 million of outstanding borrowings under its Senior Secured Credit Facility, together with $3.1 million of accrued interest and a $17.5 million prepayment premium, (ii) cash collateralize all of the letters of credit outstanding under its Senior Secured Credit Facility and (iii) make a cash deposit of $11.5 million with the administrative agent under its Senior Secured Credit Facility, after which the facility was terminated. This repayment also resulted in $19.9 million of non-cash write-offs of capitalized debt costs. The prepayment premium payments and the non-cash write-offs of capitalized debt costs are classified as loss on extinguishment of debt on the consolidated statement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scheduled annual principal payments on long-term debt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due by fiscal year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Scheduled</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principal payments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 due 2025 and senior secured credit facility</w:t>
      </w:r>
    </w:p>
    <w:p>
      <w:pPr>
        <w:spacing w:after="0" w:line="225"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On April 16, 2020, Ferrellgas, L.P. issued $700.0 million aggregate principal amount of 10.00% senior secured first lien notes due 2025, as discussed above. Ferrellgas, L.P. utilized a portion of the net proceeds of that offering to repay all $283.9 million of the outstanding borrowings under its Senior Secured Credit Facility, together with $3.1</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million of accrued interest and a $17.5 million prepayment premium and terminated that facility. Additionally, Ferrellgas, L.P. used a portion of the net proceeds from that offering to cash collateralize all of the letters of credit outstanding under the Senior Secured Credit Facility and to make a cash deposit of $11.5 million with the administrative agent under the Senior Secured Credit Facility, which may be used by the administrative agent to pay contingent obligations arising under the Financing Agreement that governed the Senior Secured Credit Facility. To the extent the cash deposit is not used to pay any such contingent obligations, it will be returned to Ferrellgas, L.P. in certain circumstances. Ferrellgas, L.P. intends to use the remaining net proceeds for general corporate purposes.</w:t>
      </w:r>
    </w:p>
    <w:p>
      <w:pPr>
        <w:spacing w:after="0" w:line="177"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As of July 31, 2020, Ferrellgas, L.P. had previously terminated its Senior Secured Credit Facility in connection with the issuance of the senior secured first lien notes due 2025. Ferrellgas, L.P. has not entered into a new credit facility as of July 31, 2020. As of July 31, 2019, Ferrellgas, L.P. had borrowings under its Senior Secured Credit Facility of $275.0 million under the term loan (the “Term Loan”) at an interest rate of 8.16%, which was then classified as current, and $43.0 million under the revolving line of credit (the “Revolving Facility”) at an interest rate of 9.47%, which was classified as short-term borrowings. As of July 31, 2019, Ferrellgas, L.P. had available borrowing capacity under the Revolving Facility of $155.1 million.</w:t>
      </w:r>
    </w:p>
    <w:p>
      <w:pPr>
        <w:spacing w:after="0" w:line="19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Letters of credit outstanding at July 31, 2020 and July 31, 2019 totaled $126.0 million and $101.9 million, respectively, and were used to secure insurance arrangements, product purchases and commodity hedges. At July 31, 2020, due to the termination of the Senior Secured Credit Facility Ferrellgas, L.P. did not have in place a credit facility providing for the issuance of letters of credit and had $78.2 million of restricted cash pledged as cash collateral for letters of credit outstanding. During the quarter ended July 31, 2020, Ferrellgas, L.P. also issued letters of credit of $50.0 million by utilizing our liquidity available on the accounts receivable securitization facility. At July 31, 2019, Ferrellgas, L.P. had remaining available letter of credit capacity under the Senior Secured Credit Facility of $23.1 million. Ferrellgas incurred commitment fees of $0.5 million, $1.0 million, and $0.7 million in fiscal 2020, 2019, and 2018,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Forbearance Agreement with respect to Ferrellgas Partners’ 8.625% Unsecured Senior Notes due June 15, 2020</w:t>
      </w:r>
    </w:p>
    <w:p>
      <w:pPr>
        <w:spacing w:after="0" w:line="237"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On June 7, 2020, Ferrellgas Partners and additional Ferrellgas entities entered into a Forbearance Agreement (the “Forbearance Agreement”) with the beneficial owners (or nominees, investment managers, advisors or subadvisors for the beneficial owners, collectively referred to as the “Forbearing Noteholders”) of approximately 77% of the aggregate principal amount of Ferrellgas Partners’ 8.625% unsecured senior notes due June 15, 2020, pursuant to which the Forbearing Noteholders agreed to forbear from exercising any default-related rights and remedies with respect to the Ferrellgas Partners Notes and to direct the trustee thereunder not to take any remedial action. The forbearance period under the Forbearance Agreement expired on August 15, 2020. Following the expiration of the forbearance period, discussions with representatives of the Forbearing Noteholders have continued.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indenture governing the outstanding notes of Ferrellgas Partners and the indentures governing the outstanding notes of Ferrellgas, L.P. contain various covenants that limit Ferrellgas Partners’ ability and the ability of specified subsidiaries to, among other things, make restricted payments and incur additional indebtedness. The general partner believes that the most restrictive of these covenants are the restricted payments covenants discussed below.</w:t>
      </w:r>
    </w:p>
    <w:p>
      <w:pPr>
        <w:spacing w:after="0" w:line="157" w:lineRule="exact"/>
        <w:rPr>
          <w:sz w:val="20"/>
          <w:szCs w:val="20"/>
          <w:color w:val="auto"/>
        </w:rPr>
      </w:pPr>
    </w:p>
    <w:p>
      <w:pPr>
        <w:ind w:left="60" w:right="339" w:firstLine="648"/>
        <w:spacing w:after="0" w:line="290" w:lineRule="auto"/>
        <w:rPr>
          <w:sz w:val="20"/>
          <w:szCs w:val="20"/>
          <w:color w:val="auto"/>
        </w:rPr>
      </w:pPr>
      <w:r>
        <w:rPr>
          <w:rFonts w:ascii="Arial" w:cs="Arial" w:eastAsia="Arial" w:hAnsi="Arial"/>
          <w:sz w:val="16"/>
          <w:szCs w:val="16"/>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subject to the limited exception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 on a pro forma basis giving effect to the restricted payment and, if applicable, certain other specified events. As of July 31, 2020, the operating partnership’s consolidated fixed charge coverage ratio was 1.70x.</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Under the covenants in the indentures governing Ferrellgas, L.P.’s unsecured notes, if the consolidated fixed charge coverage ratio is below 1.75x, Ferrellgas, L.P. may still make restricted payments in limited amounts determined under the indentures governing Ferrellgas, L.P.’s unsecured notes. The distributions made by Ferrellgas, L.P. on June 15, 2019 and December 15, 2019 for payment of interest on Ferrellgas Partners’ unsecured senior notes due June 2020 were made from capacity under this limited exception to the ratio requirement under the indentures governing Ferrellgas, L.P.’s unsecured notes.</w:t>
      </w:r>
    </w:p>
    <w:p>
      <w:pPr>
        <w:spacing w:after="0" w:line="192"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indenture governing Ferrellgas, L.P.’s senior secured first lien notes due 2025 contains a similar but, in some respects, a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Ferrellgas, L.P. generally may not make a restricted payment unless Ferrellgas, L.P.’s consolidated leverage ratio (defined in the secured notes indenture generally to mean the ratio of 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Ferrellgas, L.P.’s consolidated fixed coverage ratio is at least 1.75x or below 1.75x. As of July 31, 2020, Ferrellgas, L.P.’s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Ferrellgas, L.P.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Ferrellgas, L.P.’s unsecured notes indentures.</w:t>
      </w:r>
    </w:p>
    <w:p>
      <w:pPr>
        <w:spacing w:after="0" w:line="174"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As described above, Ferrellgas Partners’ unsecured notes due 2020 matured on June 15, 2020, and the outstanding principal amount of those notes was due to be paid on that date, together with accrued interest to the maturity date. Although Ferrellgas, L.P. has some capacity to make distributions under Ferrellgas, L.P.’s unsecured and secured notes indentures, this capacity will not allow Ferrellgas, L.P. to make distributions to Ferrellgas Partners sufficient to pay the principal of and accrued interest on Ferrellgas Partners’ unsecured senior notes due 2020 due at the maturity of those notes. Additionally, the restrictions in these indentures currently limit the ability of Ferrellgas, L.P. to make distributions to Ferrellgas Partners to enable it to pay cash distributions to its unitholders. Ferrellgas Partners continues to comply with restrictive covenants with respect to the $357.0 million aggregate principal amount of its unsecured senior notes due June 15, 2020 as Ferrellgas Partners continues to negotiate with the Forbearing Noteholders.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and interest expense reduction strategy</w:t>
      </w:r>
    </w:p>
    <w:p>
      <w:pPr>
        <w:spacing w:after="0" w:line="225"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Ferrellgas, L.P. continues to pursue a strategy to reduce its debt and interest expense. Opportunities include the generation of additional cash flows organically or through accretive acquisitions, restructuring or refinancing existing indebtedness, selling additional assets, maintaining the suspension of Ferrellgas Partners’ common unit distributions, issuing equity or executing one or more debt exchanges. Ferrellgas, L.P. expects to maintain our debt and interest expense reduction strategy until the consolidated leverage ratio reaches a level that we deem appropriate for our business. During fiscal 2019, Ferrellgas, L.P. engaged Moelis &amp; Company LLC as its financial advisor and the law firm of Squire Patton Boggs LLP to assist in its ongoing process to reduce existing debt and address its debt maturities.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Partners’ deficit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Partnership distributions: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Ferrellgas, L.P. has recognized the following distributions:</w:t>
      </w:r>
    </w:p>
    <w:p>
      <w:pPr>
        <w:spacing w:after="0" w:line="230"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For the 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6350</wp:posOffset>
            </wp:positionV>
            <wp:extent cx="18434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ind w:left="6320"/>
        <w:spacing w:after="0"/>
        <w:tabs>
          <w:tab w:leader="none" w:pos="7320" w:val="left"/>
          <w:tab w:leader="none" w:pos="8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36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89"/>
        </w:trPr>
        <w:tc>
          <w:tcPr>
            <w:tcW w:w="3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Ferrellgas Partners</w:t>
            </w:r>
          </w:p>
        </w:tc>
        <w:tc>
          <w:tcPr>
            <w:tcW w:w="31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15,496</w:t>
            </w: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40,706</w:t>
            </w:r>
          </w:p>
        </w:tc>
        <w:tc>
          <w:tcPr>
            <w:tcW w:w="10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70,246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General partner</w:t>
            </w:r>
          </w:p>
        </w:tc>
        <w:tc>
          <w:tcPr>
            <w:tcW w:w="318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additional discussions about transactions with related parties in Note N – Transactions with related parties.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Accumulated other comprehensive income (loss)(“AOCI”)</w:t>
      </w:r>
    </w:p>
    <w:p>
      <w:pPr>
        <w:spacing w:after="0" w:line="225" w:lineRule="exact"/>
        <w:rPr>
          <w:sz w:val="20"/>
          <w:szCs w:val="20"/>
          <w:color w:val="auto"/>
        </w:rPr>
      </w:pPr>
    </w:p>
    <w:p>
      <w:pPr>
        <w:ind w:left="60" w:right="299" w:firstLine="648"/>
        <w:spacing w:after="0" w:line="308" w:lineRule="auto"/>
        <w:rPr>
          <w:sz w:val="20"/>
          <w:szCs w:val="20"/>
          <w:color w:val="auto"/>
        </w:rPr>
      </w:pPr>
      <w:r>
        <w:rPr>
          <w:rFonts w:ascii="Arial" w:cs="Arial" w:eastAsia="Arial" w:hAnsi="Arial"/>
          <w:sz w:val="17"/>
          <w:szCs w:val="17"/>
          <w:color w:val="auto"/>
        </w:rPr>
        <w:t>See Note M – Derivative instruments and hedging activities – for details regarding changes in fair value on risk management financial derivatives recorded within AOCI for the years ended July 31, 2020 and 2019.</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partner’s commitment to maintain its capital account</w:t>
      </w:r>
    </w:p>
    <w:p>
      <w:pPr>
        <w:spacing w:after="0" w:line="22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Ferrellgas, L.P.’s partnership agreement allows the general partner to have an option to maintain its 1.0101% general partner interest concurrent with the issuance of other additional equity.</w:t>
      </w:r>
    </w:p>
    <w:p>
      <w:pPr>
        <w:spacing w:after="0" w:line="170"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During fiscal 2020, the general partner made non-cash contributions of $29 thousand to Ferrellgas, L.P. to maintain its 1.0101% general partner interest.</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During fiscal 2019, the general partner made non-cash contributions of $0.1 million to Ferrellgas, L.P. to maintain its 1.0101% general partner interest.</w:t>
      </w:r>
    </w:p>
    <w:p>
      <w:pPr>
        <w:spacing w:after="0" w:line="166" w:lineRule="exact"/>
        <w:rPr>
          <w:sz w:val="20"/>
          <w:szCs w:val="20"/>
          <w:color w:val="auto"/>
        </w:rPr>
      </w:pPr>
    </w:p>
    <w:p>
      <w:pPr>
        <w:ind w:left="460" w:hanging="410"/>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Ferrellgas, L.P. earns revenue from contracts with customers primarily through the distribution of propane, as well as through the sale of propane related equipment and supplies. Revenues from propane and other gas liquids sales are comprised of revenue earned from the delivery of propane to tanks on customers’ premises, from the delivery of propane filled cylinders to customers, or from the sale of portable propane tanks to nationwide and local retailers and end use customers. Other revenues primarily include sales of appliances and other materials as well as other fees charged to customers.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Contracts with customers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Ferrellgas, L.P.’s contracts with customers are principally for the bulk delivery of propane to tanks, delivery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propane filled cylinders or the delivery of portable propane tanks to retailers. Ferrellgas, L.P. sells propane to a wide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variety of customers, including residential, industrial/commercial, portable tank exchange, agricultural, wholesale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others. Ferrellgas, L.P.’s performance obligations in these contracts are generally limited to the delivery of propane,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therefore revenues from these contracts are earned at the time product is delivered or, in the case of some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Ferrellgas, L.P.’s portable tank exchange retailers who have consignment agreements, at the time the tanks are sold to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end use customer. Payment is generally due within 30 days. Revenues from sales of propane are included in Propane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gas liquids sales on the consolidated statements of operations.</w:t>
      </w:r>
    </w:p>
    <w:p>
      <w:pPr>
        <w:spacing w:after="0" w:line="21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Typically, Ferrellgas, L.P. bills customers upon delivery and payment is generally due within 30 days. With its residential customers, Ferrellgas, L.P offers customers the ability to spread their annual heating costs over a longer period, typically twelve months. Customers who opt to spread their heating costs over a longer period are referred to as “even-pay”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Ferrellgas, L.P. charges other amounts to customers associated with the delivery of propane including hazardous materials fees and fuel surcharge fees. In some regions, Ferrellgas, L.P. also sells appliances and related parts and fittings as well as other retail propane related services. Ferrellgas, L.P. charges on an annual basis tank and equipment rental charges for customers that are using our equipment to store propane. Other revenues associated with deliveries of propane are earned at the time product is delivered. Revenues associated with sales of appliances and other materials or services are earned at the time of delivery or installation. Revenues associated with tank and equipment rentals are generally recognized on a straight-line basis over one year.</w:t>
      </w:r>
    </w:p>
    <w:p>
      <w:pPr>
        <w:spacing w:after="0" w:line="177" w:lineRule="exact"/>
        <w:rPr>
          <w:sz w:val="20"/>
          <w:szCs w:val="20"/>
          <w:color w:val="auto"/>
        </w:rPr>
      </w:pPr>
    </w:p>
    <w:p>
      <w:pPr>
        <w:ind w:left="60" w:right="579" w:firstLine="648"/>
        <w:spacing w:after="0" w:line="286" w:lineRule="auto"/>
        <w:rPr>
          <w:sz w:val="20"/>
          <w:szCs w:val="20"/>
          <w:color w:val="auto"/>
        </w:rPr>
      </w:pPr>
      <w:r>
        <w:rPr>
          <w:rFonts w:ascii="Arial" w:cs="Arial" w:eastAsia="Arial" w:hAnsi="Arial"/>
          <w:sz w:val="17"/>
          <w:szCs w:val="17"/>
          <w:color w:val="auto"/>
        </w:rPr>
        <w:t>Accounting estimates related to recognition of revenue require that Ferrellgas, L.P. make estimates and assumptions about various factors including credits issued for completed sales, future returns and total consideration payable in instances where we have customer incentives payable to the customer.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Ferrellgas, L.P.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633"/>
              <w:spacing w:after="0"/>
              <w:rPr>
                <w:sz w:val="20"/>
                <w:szCs w:val="20"/>
                <w:color w:val="auto"/>
              </w:rPr>
            </w:pPr>
            <w:r>
              <w:rPr>
                <w:rFonts w:ascii="Arial" w:cs="Arial" w:eastAsia="Arial" w:hAnsi="Arial"/>
                <w:sz w:val="14"/>
                <w:szCs w:val="14"/>
                <w:b w:val="1"/>
                <w:bCs w:val="1"/>
                <w:color w:val="auto"/>
              </w:rPr>
              <w:t>For the year ended July 31,</w:t>
            </w:r>
          </w:p>
        </w:tc>
      </w:tr>
      <w:tr>
        <w:trPr>
          <w:trHeight w:val="142"/>
        </w:trPr>
        <w:tc>
          <w:tcPr>
            <w:tcW w:w="5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Retail - Sales to End Users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964,087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$ 1,128,991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$ 1,082,046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Wholesale - Sales to Resellers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430,435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419,349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448,943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Gas Sales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111,987</w:t>
            </w: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82,035</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75,534</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147,847</w:t>
            </w:r>
          </w:p>
        </w:tc>
      </w:tr>
      <w:tr>
        <w:trPr>
          <w:trHeight w:val="209"/>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Propane and related equipment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1,497,826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$ 1,684,392</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$ 1,790,823</w:t>
            </w: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Ferrellgas, L.P.’s performance obligations are generally limited to the delivery of propane for our retail and wholesale contracts. Ferrellgas, L.P.’s performance obligations with respect to sales of appliances and other materials and other revenues are limited to the delivery of the agreed upon good or service. Ferrellgas, L.P. does not have material performance obligations that are delivered over time, thus all of our revenue is recognized at the time the goods, including propane, are delivered or installed. Ferrellgas, L.P. offers “even pay” billing programs that can create customer deposits or advances, depending on whether Ferrellgas, L.P.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85"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Ferrellgas, L.P.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Ferrellgas, L.P. does not capitalize these costs.</w:t>
      </w:r>
    </w:p>
    <w:p>
      <w:pPr>
        <w:spacing w:after="0" w:line="157"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following table presents the opening and closing balances of our receivables, contract assets, and contract liabilities: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July 31, 2019</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108,483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Contract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7,079</w:t>
            </w:r>
          </w:p>
        </w:tc>
        <w:tc>
          <w:tcPr>
            <w:tcW w:w="1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13,609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Deferred revenue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42,911</w:t>
            </w:r>
          </w:p>
        </w:tc>
        <w:tc>
          <w:tcPr>
            <w:tcW w:w="18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31,974</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419" w:hanging="326"/>
        <w:spacing w:after="0" w:line="277" w:lineRule="auto"/>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Of the beginning balance of deferred revenue, $29.8 million was recognized as revenue during the year ended July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Ferrellgas, L.P.’s remaining performance obligations are generally limited to situations where its customers have remitted payment but have not yet received deliveries of propane. This most commonly occurs in Ferrellgas, L.P.’s even pay billing programs and Ferrellgas expects that these balances will be recognized within a year or less as the customer takes delivery of propane.</w:t>
      </w:r>
    </w:p>
    <w:p>
      <w:pPr>
        <w:spacing w:after="0" w:line="183" w:lineRule="exact"/>
        <w:rPr>
          <w:sz w:val="20"/>
          <w:szCs w:val="20"/>
          <w:color w:val="auto"/>
        </w:rPr>
      </w:pPr>
    </w:p>
    <w:p>
      <w:pPr>
        <w:ind w:left="440" w:hanging="390"/>
        <w:spacing w:after="0"/>
        <w:tabs>
          <w:tab w:leader="none" w:pos="4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following table presents Ferrellgas, L.P.’s financial assets and financial liabilities that are measured at fair value on a recurring basis for each of the fair value hierarchy levels, including both current and noncurrent portions, as of July 31, 2020 and 2019:</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Asset (Liability)</w:t>
            </w: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6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Unobservable 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Assets and Liabilities</w:t>
            </w:r>
          </w:p>
        </w:tc>
        <w:tc>
          <w:tcPr>
            <w:tcW w:w="13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2020: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3,112</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1,259</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Derivative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derivatives</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Methodology</w:t>
      </w:r>
    </w:p>
    <w:p>
      <w:pPr>
        <w:spacing w:after="0" w:line="22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fair values of Ferrellgas, L.P.’s non-exchange traded commodity derivative contracts are based upon indicative price quotations available through brokers, industry price publications or recent market transactions and related market indicators.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carrying amounts of other financial instruments included in current assets and current liabilities (except for current maturities of long-term debt) approximate their fair values because of their short-term nature. At July 31, 2020 and July 31, 2019, the estimated fair value of Ferrellgas, L.P.’s long-term debt instruments was $2,054.4 million and $1,562.2 million, respectively. Ferrellgas, L.P. estimates the fair value of long-term debt based on quoted market prices. The fair value of our consolidated debt obligations is a Level 2 valuation based on the observable inputs used for similar liabilities.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Ferrellgas, L.P.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 Derivative instruments and hedging activities</w:t>
      </w:r>
    </w:p>
    <w:p>
      <w:pPr>
        <w:spacing w:after="0" w:line="22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Ferrellgas, L.P. is exposed to certain market risks related to its ongoing business operations. These risks include exposure to changing commodity prices as well as fluctuations in interest rates. Ferrellgas, L.P. utilizes derivative instruments to manage its exposure to fluctuations in commodity prices. Of these, the propane commodity derivative instruments are designated as cash flow hedges.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During the year ended July 31, 2020 and 2019, Ferrellgas, L.P.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84"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 following tables provide a summary of the fair value of derivatives within Ferrellgas, L.P.’s consolidated balance sheets as of July 31, 2020 and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2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July 31, 2020</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2"/>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Maturity</w:t>
            </w:r>
          </w:p>
        </w:tc>
        <w:tc>
          <w:tcPr>
            <w:tcW w:w="2040" w:type="dxa"/>
            <w:vAlign w:val="bottom"/>
            <w:tcBorders>
              <w:bottom w:val="single" w:sz="8" w:color="auto"/>
            </w:tcBorders>
            <w:gridSpan w:val="2"/>
          </w:tcPr>
          <w:p>
            <w:pPr>
              <w:ind w:left="880"/>
              <w:spacing w:after="0" w:line="142" w:lineRule="exact"/>
              <w:rPr>
                <w:sz w:val="20"/>
                <w:szCs w:val="20"/>
                <w:color w:val="auto"/>
              </w:rPr>
            </w:pPr>
            <w:r>
              <w:rPr>
                <w:rFonts w:ascii="Arial" w:cs="Arial" w:eastAsia="Arial" w:hAnsi="Arial"/>
                <w:sz w:val="14"/>
                <w:szCs w:val="14"/>
                <w:b w:val="1"/>
                <w:bCs w:val="1"/>
                <w:color w:val="auto"/>
                <w:w w:val="97"/>
              </w:rPr>
              <w:t>Asset Derivatives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bottom w:val="single" w:sz="8" w:color="auto"/>
            </w:tcBorders>
            <w:gridSpan w:val="7"/>
          </w:tcPr>
          <w:p>
            <w:pPr>
              <w:jc w:val="right"/>
              <w:ind w:right="270"/>
              <w:spacing w:after="0" w:line="142" w:lineRule="exact"/>
              <w:rPr>
                <w:sz w:val="20"/>
                <w:szCs w:val="20"/>
                <w:color w:val="auto"/>
              </w:rPr>
            </w:pPr>
            <w:r>
              <w:rPr>
                <w:rFonts w:ascii="Arial" w:cs="Arial" w:eastAsia="Arial" w:hAnsi="Arial"/>
                <w:sz w:val="14"/>
                <w:szCs w:val="14"/>
                <w:b w:val="1"/>
                <w:bCs w:val="1"/>
                <w:color w:val="auto"/>
              </w:rPr>
              <w:t>Liability Derivatives</w:t>
            </w: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Derivative Instrument</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2040" w:type="dxa"/>
            <w:vAlign w:val="bottom"/>
            <w:gridSpan w:val="2"/>
          </w:tcPr>
          <w:p>
            <w:pPr>
              <w:ind w:left="740"/>
              <w:spacing w:after="0" w:line="142" w:lineRule="exact"/>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Fair value</w:t>
            </w:r>
          </w:p>
        </w:tc>
      </w:tr>
      <w:tr>
        <w:trPr>
          <w:trHeight w:val="195"/>
        </w:trPr>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Derivatives designated as hedging</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2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02"/>
        </w:trPr>
        <w:tc>
          <w:tcPr>
            <w:tcW w:w="27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Commodity derivatives-propane</w:t>
            </w:r>
          </w:p>
        </w:tc>
        <w:tc>
          <w:tcPr>
            <w:tcW w:w="1160" w:type="dxa"/>
            <w:vAlign w:val="bottom"/>
          </w:tcPr>
          <w:p>
            <w:pPr>
              <w:spacing w:after="0"/>
              <w:rPr>
                <w:sz w:val="17"/>
                <w:szCs w:val="17"/>
                <w:color w:val="auto"/>
              </w:rPr>
            </w:pP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w w:val="89"/>
              </w:rPr>
              <w:t>Prepaid expenses and 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2,846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5,029</w:t>
            </w:r>
          </w:p>
        </w:tc>
      </w:tr>
      <w:tr>
        <w:trPr>
          <w:trHeight w:val="216"/>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Commodity derivatives-propane</w:t>
            </w:r>
          </w:p>
        </w:tc>
        <w:tc>
          <w:tcPr>
            <w:tcW w:w="1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Other liabilities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July 31, 2019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42"/>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Maturity</w:t>
            </w:r>
          </w:p>
        </w:tc>
        <w:tc>
          <w:tcPr>
            <w:tcW w:w="2040" w:type="dxa"/>
            <w:vAlign w:val="bottom"/>
            <w:tcBorders>
              <w:bottom w:val="single" w:sz="8" w:color="auto"/>
            </w:tcBorders>
            <w:gridSpan w:val="2"/>
          </w:tcPr>
          <w:p>
            <w:pPr>
              <w:ind w:left="880"/>
              <w:spacing w:after="0" w:line="142" w:lineRule="exact"/>
              <w:rPr>
                <w:sz w:val="20"/>
                <w:szCs w:val="20"/>
                <w:color w:val="auto"/>
              </w:rPr>
            </w:pPr>
            <w:r>
              <w:rPr>
                <w:rFonts w:ascii="Arial" w:cs="Arial" w:eastAsia="Arial" w:hAnsi="Arial"/>
                <w:sz w:val="14"/>
                <w:szCs w:val="14"/>
                <w:b w:val="1"/>
                <w:bCs w:val="1"/>
                <w:color w:val="auto"/>
                <w:w w:val="97"/>
              </w:rPr>
              <w:t>Asset Derivatives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jc w:val="right"/>
              <w:ind w:right="290"/>
              <w:spacing w:after="0" w:line="142" w:lineRule="exact"/>
              <w:rPr>
                <w:sz w:val="20"/>
                <w:szCs w:val="20"/>
                <w:color w:val="auto"/>
              </w:rPr>
            </w:pPr>
            <w:r>
              <w:rPr>
                <w:rFonts w:ascii="Arial" w:cs="Arial" w:eastAsia="Arial" w:hAnsi="Arial"/>
                <w:sz w:val="14"/>
                <w:szCs w:val="14"/>
                <w:b w:val="1"/>
                <w:bCs w:val="1"/>
                <w:color w:val="auto"/>
              </w:rPr>
              <w:t>Liability Derivatives</w:t>
            </w: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Derivative Instrument</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2040" w:type="dxa"/>
            <w:vAlign w:val="bottom"/>
            <w:gridSpan w:val="2"/>
          </w:tcPr>
          <w:p>
            <w:pPr>
              <w:ind w:left="740"/>
              <w:spacing w:after="0" w:line="142" w:lineRule="exact"/>
              <w:rPr>
                <w:sz w:val="20"/>
                <w:szCs w:val="20"/>
                <w:color w:val="auto"/>
              </w:rPr>
            </w:pPr>
            <w:r>
              <w:rPr>
                <w:rFonts w:ascii="Arial" w:cs="Arial" w:eastAsia="Arial" w:hAnsi="Arial"/>
                <w:sz w:val="14"/>
                <w:szCs w:val="14"/>
                <w:b w:val="1"/>
                <w:bCs w:val="1"/>
                <w:color w:val="auto"/>
              </w:rPr>
              <w:t>Location</w:t>
            </w:r>
          </w:p>
        </w:tc>
        <w:tc>
          <w:tcPr>
            <w:tcW w:w="780" w:type="dxa"/>
            <w:vAlign w:val="bottom"/>
            <w:gridSpan w:val="4"/>
          </w:tcPr>
          <w:p>
            <w:pPr>
              <w:jc w:val="center"/>
              <w:ind w:left="41"/>
              <w:spacing w:after="0" w:line="142" w:lineRule="exact"/>
              <w:rPr>
                <w:sz w:val="20"/>
                <w:szCs w:val="20"/>
                <w:color w:val="auto"/>
              </w:rPr>
            </w:pPr>
            <w:r>
              <w:rPr>
                <w:rFonts w:ascii="Arial" w:cs="Arial" w:eastAsia="Arial" w:hAnsi="Arial"/>
                <w:sz w:val="14"/>
                <w:szCs w:val="14"/>
                <w:b w:val="1"/>
                <w:bCs w:val="1"/>
                <w:color w:val="auto"/>
                <w:w w:val="94"/>
              </w:rPr>
              <w:t>Fair value</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95"/>
        </w:trPr>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Derivatives designated as hedging</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2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02"/>
        </w:trPr>
        <w:tc>
          <w:tcPr>
            <w:tcW w:w="27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Commodity derivatives-propane</w:t>
            </w:r>
          </w:p>
        </w:tc>
        <w:tc>
          <w:tcPr>
            <w:tcW w:w="1160" w:type="dxa"/>
            <w:vAlign w:val="bottom"/>
          </w:tcPr>
          <w:p>
            <w:pPr>
              <w:spacing w:after="0"/>
              <w:rPr>
                <w:sz w:val="17"/>
                <w:szCs w:val="17"/>
                <w:color w:val="auto"/>
              </w:rPr>
            </w:pP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w w:val="89"/>
              </w:rPr>
              <w:t>Prepaid expenses and 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ind w:left="40"/>
              <w:spacing w:after="0" w:line="201" w:lineRule="exact"/>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$ 14,198</w:t>
            </w:r>
          </w:p>
        </w:tc>
      </w:tr>
      <w:tr>
        <w:trPr>
          <w:trHeight w:val="216"/>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Commodity derivatives-propane</w:t>
            </w:r>
          </w:p>
        </w:tc>
        <w:tc>
          <w:tcPr>
            <w:tcW w:w="1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8"/>
              </w:rPr>
              <w:t>Other liabilities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3"/>
              </w:rPr>
              <w:t>$ 1,259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5"/>
              </w:rPr>
              <w:t>$ 16,015</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79" w:firstLine="648"/>
        <w:spacing w:after="0" w:line="296" w:lineRule="auto"/>
        <w:rPr>
          <w:sz w:val="20"/>
          <w:szCs w:val="20"/>
          <w:color w:val="auto"/>
        </w:rPr>
      </w:pPr>
      <w:r>
        <w:rPr>
          <w:rFonts w:ascii="Arial" w:cs="Arial" w:eastAsia="Arial" w:hAnsi="Arial"/>
          <w:sz w:val="16"/>
          <w:szCs w:val="16"/>
          <w:color w:val="auto"/>
        </w:rPr>
        <w:t>Ferrellgas, L.P.’s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L.P. for contracts that are in a positive mark-to-market position. The following tables provide a summary of cash margin balances as of July 31, 2020 and July 31, 2019, respectively:</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July 31, 2020</w:t>
            </w: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140" w:type="dxa"/>
            <w:vAlign w:val="bottom"/>
            <w:tcBorders>
              <w:bottom w:val="single" w:sz="8" w:color="auto"/>
            </w:tcBorders>
            <w:gridSpan w:val="2"/>
          </w:tcPr>
          <w:p>
            <w:pPr>
              <w:ind w:left="1740"/>
              <w:spacing w:after="0" w:line="142" w:lineRule="exact"/>
              <w:rPr>
                <w:sz w:val="20"/>
                <w:szCs w:val="20"/>
                <w:color w:val="auto"/>
              </w:rPr>
            </w:pPr>
            <w:r>
              <w:rPr>
                <w:rFonts w:ascii="Arial" w:cs="Arial" w:eastAsia="Arial" w:hAnsi="Arial"/>
                <w:sz w:val="14"/>
                <w:szCs w:val="14"/>
                <w:b w:val="1"/>
                <w:bCs w:val="1"/>
                <w:color w:val="auto"/>
              </w:rPr>
              <w:t>Assets</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rPr>
              <w:t>Liabilities</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3140" w:type="dxa"/>
            <w:vAlign w:val="bottom"/>
            <w:gridSpan w:val="2"/>
          </w:tcPr>
          <w:p>
            <w:pPr>
              <w:ind w:left="1240"/>
              <w:spacing w:after="0" w:line="142" w:lineRule="exact"/>
              <w:rPr>
                <w:sz w:val="20"/>
                <w:szCs w:val="20"/>
                <w:color w:val="auto"/>
              </w:rPr>
            </w:pPr>
            <w:r>
              <w:rPr>
                <w:rFonts w:ascii="Arial" w:cs="Arial" w:eastAsia="Arial" w:hAnsi="Arial"/>
                <w:sz w:val="14"/>
                <w:szCs w:val="14"/>
                <w:b w:val="1"/>
                <w:bCs w:val="1"/>
                <w:color w:val="auto"/>
              </w:rPr>
              <w:t>Location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8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Location</w:t>
            </w: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Margin Balances</w:t>
            </w:r>
          </w:p>
        </w:tc>
        <w:tc>
          <w:tcPr>
            <w:tcW w:w="14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Prepaid expense and other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$ 14,398</w:t>
            </w: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Other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2"/>
          </w:tcPr>
          <w:p>
            <w:pPr>
              <w:jc w:val="right"/>
              <w:ind w:right="740"/>
              <w:spacing w:after="0"/>
              <w:rPr>
                <w:sz w:val="20"/>
                <w:szCs w:val="20"/>
                <w:color w:val="auto"/>
              </w:rPr>
            </w:pPr>
            <w:r>
              <w:rPr>
                <w:rFonts w:ascii="Arial" w:cs="Arial" w:eastAsia="Arial" w:hAnsi="Arial"/>
                <w:sz w:val="18"/>
                <w:szCs w:val="18"/>
                <w:color w:val="auto"/>
                <w:w w:val="93"/>
              </w:rPr>
              <w:t>Other liabilities</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$ 15,831</w:t>
            </w:r>
          </w:p>
        </w:tc>
        <w:tc>
          <w:tcPr>
            <w:tcW w:w="1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8" w:name="page189"/>
    <w:bookmarkEnd w:id="1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July 31, 2019</w:t>
            </w: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120" w:type="dxa"/>
            <w:vAlign w:val="bottom"/>
            <w:tcBorders>
              <w:bottom w:val="single" w:sz="8" w:color="auto"/>
            </w:tcBorders>
            <w:gridSpan w:val="2"/>
          </w:tcPr>
          <w:p>
            <w:pPr>
              <w:ind w:left="1720"/>
              <w:spacing w:after="0" w:line="142" w:lineRule="exact"/>
              <w:rPr>
                <w:sz w:val="20"/>
                <w:szCs w:val="20"/>
                <w:color w:val="auto"/>
              </w:rPr>
            </w:pPr>
            <w:r>
              <w:rPr>
                <w:rFonts w:ascii="Arial" w:cs="Arial" w:eastAsia="Arial" w:hAnsi="Arial"/>
                <w:sz w:val="14"/>
                <w:szCs w:val="14"/>
                <w:b w:val="1"/>
                <w:bCs w:val="1"/>
                <w:color w:val="auto"/>
              </w:rPr>
              <w:t>Assets</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Borders>
              <w:bottom w:val="single" w:sz="8" w:color="auto"/>
            </w:tcBorders>
            <w:gridSpan w:val="2"/>
          </w:tcPr>
          <w:p>
            <w:pPr>
              <w:ind w:left="940"/>
              <w:spacing w:after="0" w:line="142" w:lineRule="exact"/>
              <w:rPr>
                <w:sz w:val="20"/>
                <w:szCs w:val="20"/>
                <w:color w:val="auto"/>
              </w:rPr>
            </w:pPr>
            <w:r>
              <w:rPr>
                <w:rFonts w:ascii="Arial" w:cs="Arial" w:eastAsia="Arial" w:hAnsi="Arial"/>
                <w:sz w:val="14"/>
                <w:szCs w:val="14"/>
                <w:b w:val="1"/>
                <w:bCs w:val="1"/>
                <w:color w:val="auto"/>
              </w:rPr>
              <w:t>Liabilities</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gridSpan w:val="2"/>
            <w:vMerge w:val="continue"/>
          </w:tcPr>
          <w:p>
            <w:pPr>
              <w:spacing w:after="0"/>
              <w:rPr>
                <w:sz w:val="12"/>
                <w:szCs w:val="12"/>
                <w:color w:val="auto"/>
              </w:rPr>
            </w:pPr>
          </w:p>
        </w:tc>
        <w:tc>
          <w:tcPr>
            <w:tcW w:w="3120" w:type="dxa"/>
            <w:vAlign w:val="bottom"/>
            <w:gridSpan w:val="2"/>
          </w:tcPr>
          <w:p>
            <w:pPr>
              <w:ind w:left="1220"/>
              <w:spacing w:after="0" w:line="142" w:lineRule="exact"/>
              <w:rPr>
                <w:sz w:val="20"/>
                <w:szCs w:val="20"/>
                <w:color w:val="auto"/>
              </w:rPr>
            </w:pPr>
            <w:r>
              <w:rPr>
                <w:rFonts w:ascii="Arial" w:cs="Arial" w:eastAsia="Arial" w:hAnsi="Arial"/>
                <w:sz w:val="14"/>
                <w:szCs w:val="14"/>
                <w:b w:val="1"/>
                <w:bCs w:val="1"/>
                <w:color w:val="auto"/>
              </w:rPr>
              <w:t>Location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8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Location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Margin Balances</w:t>
            </w:r>
          </w:p>
        </w:tc>
        <w:tc>
          <w:tcPr>
            <w:tcW w:w="1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Prepaid expense and other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$ 25,028</w:t>
            </w:r>
          </w:p>
        </w:tc>
        <w:tc>
          <w:tcPr>
            <w:tcW w:w="1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Other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$ 1,217</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gridSpan w:val="2"/>
          </w:tcPr>
          <w:p>
            <w:pPr>
              <w:jc w:val="right"/>
              <w:ind w:right="740"/>
              <w:spacing w:after="0"/>
              <w:rPr>
                <w:sz w:val="20"/>
                <w:szCs w:val="20"/>
                <w:color w:val="auto"/>
              </w:rPr>
            </w:pPr>
            <w:r>
              <w:rPr>
                <w:rFonts w:ascii="Arial" w:cs="Arial" w:eastAsia="Arial" w:hAnsi="Arial"/>
                <w:sz w:val="18"/>
                <w:szCs w:val="18"/>
                <w:color w:val="auto"/>
                <w:w w:val="94"/>
              </w:rPr>
              <w:t>Other liabilities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$ 27,997</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$ 1,217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During fiscal 2018, Ferrellgas, L.P. terminated the interest rate swaps that were designated as a fair value hedging instrument and cash flow hedging instrument. Upon termination, Ferrellgas, L.P. paid the counterparty $4.2 million. Since the interest rate swap designated as a fair value hedging instrument that was terminated involves a hedge of an interest-bearing liability, the senior notes due May 1, 2021, Ferrellgas, L.P. capitalized the fair value of the hedge at termination of $4.2 million and will amortize the balance on a straight-line basis to interest expense over the remaining useful life of the hedged item, the 2021 Notes. The following table provides a summary of the effect on Ferrellgas, L.P.’s consolidated statements of comprehensive income for the years ended July 31, 2020, 2019 and 2018 due to derivatives designated as fair value hedging instruments: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140" w:type="dxa"/>
            <w:vAlign w:val="bottom"/>
          </w:tcPr>
          <w:p>
            <w:pPr>
              <w:spacing w:after="0"/>
              <w:rPr>
                <w:sz w:val="14"/>
                <w:szCs w:val="14"/>
                <w:color w:val="auto"/>
              </w:rPr>
            </w:pPr>
          </w:p>
        </w:tc>
        <w:tc>
          <w:tcPr>
            <w:tcW w:w="21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Amount of Gain Recognized on</w:t>
            </w:r>
          </w:p>
        </w:tc>
        <w:tc>
          <w:tcPr>
            <w:tcW w:w="160" w:type="dxa"/>
            <w:vAlign w:val="bottom"/>
          </w:tcPr>
          <w:p>
            <w:pPr>
              <w:spacing w:after="0"/>
              <w:rPr>
                <w:sz w:val="14"/>
                <w:szCs w:val="14"/>
                <w:color w:val="auto"/>
              </w:rPr>
            </w:pPr>
          </w:p>
        </w:tc>
        <w:tc>
          <w:tcPr>
            <w:tcW w:w="2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Amount of Interest Expense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Recognized on Fixed-Rated Debt</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Recognized on</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Derivative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(Related Hedged Item)</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Derivative Instrument</w:t>
            </w:r>
          </w:p>
        </w:tc>
        <w:tc>
          <w:tcPr>
            <w:tcW w:w="14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214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For the year ended July 31,</w:t>
            </w:r>
          </w:p>
        </w:tc>
        <w:tc>
          <w:tcPr>
            <w:tcW w:w="160" w:type="dxa"/>
            <w:vAlign w:val="bottom"/>
          </w:tcPr>
          <w:p>
            <w:pPr>
              <w:spacing w:after="0"/>
              <w:rPr>
                <w:sz w:val="12"/>
                <w:szCs w:val="12"/>
                <w:color w:val="auto"/>
              </w:rPr>
            </w:pPr>
          </w:p>
        </w:tc>
        <w:tc>
          <w:tcPr>
            <w:tcW w:w="220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For the year ended July 31,</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ind w:right="99"/>
              <w:spacing w:after="0" w:line="142" w:lineRule="exact"/>
              <w:rPr>
                <w:sz w:val="20"/>
                <w:szCs w:val="20"/>
                <w:color w:val="auto"/>
              </w:rPr>
            </w:pPr>
            <w:r>
              <w:rPr>
                <w:rFonts w:ascii="Arial" w:cs="Arial" w:eastAsia="Arial" w:hAnsi="Arial"/>
                <w:sz w:val="14"/>
                <w:szCs w:val="14"/>
                <w:b w:val="1"/>
                <w:bCs w:val="1"/>
                <w:color w:val="auto"/>
                <w:w w:val="89"/>
              </w:rPr>
              <w:t>2019</w:t>
            </w:r>
          </w:p>
        </w:tc>
        <w:tc>
          <w:tcPr>
            <w:tcW w:w="66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520" w:type="dxa"/>
            <w:vAlign w:val="bottom"/>
          </w:tcPr>
          <w:p>
            <w:pPr>
              <w:jc w:val="right"/>
              <w:ind w:right="4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1320" w:type="dxa"/>
            <w:vAlign w:val="bottom"/>
            <w:tcBorders>
              <w:top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$ 266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(6,825)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639" w:firstLine="648"/>
        <w:spacing w:after="0" w:line="263" w:lineRule="auto"/>
        <w:rPr>
          <w:sz w:val="20"/>
          <w:szCs w:val="20"/>
          <w:color w:val="auto"/>
        </w:rPr>
      </w:pPr>
      <w:r>
        <w:rPr>
          <w:rFonts w:ascii="Arial" w:cs="Arial" w:eastAsia="Arial" w:hAnsi="Arial"/>
          <w:sz w:val="18"/>
          <w:szCs w:val="18"/>
          <w:color w:val="auto"/>
        </w:rPr>
        <w:t>The following tables provide a summary of the effect on Ferrellgas, L.P.’s consolidated statements of comprehensive income for the years ended July 31, 2020, 2019 and 2018 due to derivatives designated as cash flow hedging instruments: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7"/>
              </w:rPr>
              <w:t>For the year ended July 31, 2020</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9"/>
              </w:rPr>
              <w:t>Amount of Gain (Loss)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1"/>
              </w:rPr>
              <w:t>Amount of Gain (Loss)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Reclassified from AOCI</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AOCI into Income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Derivative Instrument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Recognized in AOCI</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into Income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Effective portion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Ineffective portion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Cost of product sold- propane</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62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other gas liquids sales</w:t>
            </w:r>
          </w:p>
        </w:tc>
        <w:tc>
          <w:tcPr>
            <w:tcW w:w="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960" w:type="dxa"/>
            <w:vAlign w:val="bottom"/>
            <w:gridSpan w:val="3"/>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(35,315)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6"/>
              </w:rPr>
              <w:t>For the year ended July 31, 2019</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9"/>
              </w:rPr>
              <w:t>Amount of Gain (Loss)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Reclassified from AOCI</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AOCI into Income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Derivative Instrument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Recognized in AOCI</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into Income</w:t>
            </w:r>
          </w:p>
        </w:tc>
        <w:tc>
          <w:tcPr>
            <w:tcW w:w="120" w:type="dxa"/>
            <w:vAlign w:val="bottom"/>
          </w:tcPr>
          <w:p>
            <w:pPr>
              <w:spacing w:after="0"/>
              <w:rPr>
                <w:sz w:val="12"/>
                <w:szCs w:val="12"/>
                <w:color w:val="auto"/>
              </w:rPr>
            </w:pPr>
          </w:p>
        </w:tc>
        <w:tc>
          <w:tcPr>
            <w:tcW w:w="1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Ineffective portion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Commodity derivatives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Cost of product sold- propane</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(48,184)</w:t>
            </w:r>
          </w:p>
        </w:tc>
        <w:tc>
          <w:tcPr>
            <w:tcW w:w="23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and other gas liquids sales</w:t>
            </w:r>
          </w:p>
        </w:tc>
        <w:tc>
          <w:tcPr>
            <w:tcW w:w="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(48,184)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6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6"/>
              </w:rPr>
              <w:t>For the year ended July 31, 2018</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9"/>
              </w:rPr>
              <w:t>Amount of Gain (Loss)</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Reclassified from AOCI</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AOCI into Income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Derivative Instrument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Recognized in AOCI</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into Income</w:t>
            </w:r>
          </w:p>
        </w:tc>
        <w:tc>
          <w:tcPr>
            <w:tcW w:w="120" w:type="dxa"/>
            <w:vAlign w:val="bottom"/>
          </w:tcPr>
          <w:p>
            <w:pPr>
              <w:spacing w:after="0"/>
              <w:rPr>
                <w:sz w:val="12"/>
                <w:szCs w:val="12"/>
                <w:color w:val="auto"/>
              </w:rPr>
            </w:pPr>
          </w:p>
        </w:tc>
        <w:tc>
          <w:tcPr>
            <w:tcW w:w="1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Ineffective portion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Cost of sales-propane and</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62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w:t>
            </w:r>
          </w:p>
        </w:tc>
        <w:tc>
          <w:tcPr>
            <w:tcW w:w="40" w:type="dxa"/>
            <w:vAlign w:val="bottom"/>
            <w:shd w:val="clear" w:color="auto" w:fill="CCEEFF"/>
          </w:tcPr>
          <w:p>
            <w:pPr>
              <w:spacing w:after="0"/>
              <w:rPr>
                <w:sz w:val="20"/>
                <w:szCs w:val="20"/>
                <w:color w:val="auto"/>
              </w:rPr>
            </w:pPr>
          </w:p>
        </w:tc>
        <w:tc>
          <w:tcPr>
            <w:tcW w:w="23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gas liquids sales</w:t>
            </w:r>
          </w:p>
        </w:tc>
        <w:tc>
          <w:tcPr>
            <w:tcW w:w="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Interest rate swap agreements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3"/>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24,319</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vMerge w:val="restart"/>
          </w:tcPr>
          <w:p>
            <w:pPr>
              <w:ind w:left="100"/>
              <w:spacing w:after="0"/>
              <w:rPr>
                <w:sz w:val="20"/>
                <w:szCs w:val="20"/>
                <w:color w:val="auto"/>
              </w:rPr>
            </w:pPr>
            <w:r>
              <w:rPr>
                <w:rFonts w:ascii="Arial" w:cs="Arial" w:eastAsia="Arial" w:hAnsi="Arial"/>
                <w:sz w:val="18"/>
                <w:szCs w:val="18"/>
                <w:color w:val="auto"/>
              </w:rPr>
              <w:t>F-81</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9" w:name="page190"/>
    <w:bookmarkEnd w:id="1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The following table provides a summary of the effect on Ferrellgas, L.P.’s consolidated statements of comprehensive income for the years ended July 31, 2020, 2019 and 2018 due to the change in fair value of derivatives not designated as hedging instruments. There was no effect for the years ended July 31, 2020 and 2019.</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For the year ended July 31, 2018</w:t>
            </w:r>
          </w:p>
        </w:tc>
        <w:tc>
          <w:tcPr>
            <w:tcW w:w="0" w:type="dxa"/>
            <w:vAlign w:val="bottom"/>
          </w:tcPr>
          <w:p>
            <w:pPr>
              <w:spacing w:after="0"/>
              <w:rPr>
                <w:sz w:val="1"/>
                <w:szCs w:val="1"/>
                <w:color w:val="auto"/>
              </w:rPr>
            </w:pPr>
          </w:p>
        </w:tc>
      </w:tr>
      <w:tr>
        <w:trPr>
          <w:trHeight w:val="119"/>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40" w:type="dxa"/>
            <w:vAlign w:val="bottom"/>
          </w:tcPr>
          <w:p>
            <w:pPr>
              <w:spacing w:after="0"/>
              <w:rPr>
                <w:sz w:val="10"/>
                <w:szCs w:val="10"/>
                <w:color w:val="auto"/>
              </w:rPr>
            </w:pPr>
          </w:p>
        </w:tc>
        <w:tc>
          <w:tcPr>
            <w:tcW w:w="14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Amount of Gain (Loss)</w:t>
            </w:r>
          </w:p>
        </w:tc>
        <w:tc>
          <w:tcPr>
            <w:tcW w:w="160" w:type="dxa"/>
            <w:vAlign w:val="bottom"/>
          </w:tcPr>
          <w:p>
            <w:pPr>
              <w:spacing w:after="0"/>
              <w:rPr>
                <w:sz w:val="10"/>
                <w:szCs w:val="10"/>
                <w:color w:val="auto"/>
              </w:rPr>
            </w:pPr>
          </w:p>
        </w:tc>
        <w:tc>
          <w:tcPr>
            <w:tcW w:w="2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Location of Gain (Loss)</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Recognized in Income</w:t>
            </w:r>
          </w:p>
        </w:tc>
        <w:tc>
          <w:tcPr>
            <w:tcW w:w="160" w:type="dxa"/>
            <w:vAlign w:val="bottom"/>
            <w:tcBorders>
              <w:bottom w:val="single" w:sz="8" w:color="CCEEFF"/>
            </w:tcBorders>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Reclassified in Income</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 crude oil</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sales - midstream operations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derivatives included in AOCI for the years ended July 31, 2020, 2019 and 2018 were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Gains and losses on derivatives included in AOCI</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rPr>
              <w:t>For the year ended July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16"/>
        </w:trPr>
        <w:tc>
          <w:tcPr>
            <w:tcW w:w="5540" w:type="dxa"/>
            <w:vAlign w:val="bottom"/>
          </w:tcPr>
          <w:p>
            <w:pPr>
              <w:ind w:left="100"/>
              <w:spacing w:after="0"/>
              <w:rPr>
                <w:sz w:val="20"/>
                <w:szCs w:val="20"/>
                <w:color w:val="auto"/>
              </w:rPr>
            </w:pPr>
            <w:r>
              <w:rPr>
                <w:rFonts w:ascii="Arial" w:cs="Arial" w:eastAsia="Arial" w:hAnsi="Arial"/>
                <w:sz w:val="18"/>
                <w:szCs w:val="18"/>
                <w:color w:val="auto"/>
              </w:rPr>
              <w:t>Change in value of risk management commodity derivatives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30,231</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Reclassification of (gains) losses on commodity hedges to cost of sales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propane and other gas liquids sales, net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(24,714)</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9"/>
              </w:rPr>
              <w:t>Reclassification of losses on interest rate hedges to interest expense</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Ferrellgas, L.P. expects to reclassify net losses of approximately $2.2 million to earnings during the next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 months. These net losses are expected to be offset by increased margins on propane sales commitments Ferrellgas, L.P.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has with its customers that qualify for the normal purchase normal sale exception.</w:t>
      </w:r>
    </w:p>
    <w:p>
      <w:pPr>
        <w:spacing w:after="0" w:line="211" w:lineRule="exact"/>
        <w:rPr>
          <w:sz w:val="20"/>
          <w:szCs w:val="20"/>
          <w:color w:val="auto"/>
        </w:rPr>
      </w:pPr>
    </w:p>
    <w:p>
      <w:pPr>
        <w:ind w:left="60" w:right="579" w:firstLine="648"/>
        <w:spacing w:after="0" w:line="311" w:lineRule="auto"/>
        <w:rPr>
          <w:sz w:val="20"/>
          <w:szCs w:val="20"/>
          <w:color w:val="auto"/>
        </w:rPr>
      </w:pPr>
      <w:r>
        <w:rPr>
          <w:rFonts w:ascii="Arial" w:cs="Arial" w:eastAsia="Arial" w:hAnsi="Arial"/>
          <w:sz w:val="16"/>
          <w:szCs w:val="16"/>
          <w:color w:val="auto"/>
        </w:rPr>
        <w:t>During the years ended July 31, 2020, 2019 and 2018, Ferrellgas, L.P.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spacing w:after="0" w:line="14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As of July 31, 2020, Ferrellgas, L.P. had financial derivative contracts covering 4.0 million barrels of propane that were entered into as cash flow hedges of forward and forecasted purchases of propane.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Credit Risk</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Ferrellgas, L.P. is exposed to credit loss in the event of nonperformance by counterparties to derivative financial and commodity instruments. Ferrellgas, L.P.’s counterparties principally consist of major energy companies and major U.S. financial institutions. Ferrellgas, L.P. maintains credit policies with regard to its counterparties that it believes reduce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L.P. in the forms of letters of credit, parent guarantees or cash. Ferrellgas, L.P. has concentrations of credit risk associated with derivative financial instruments held by certain derivative financial instrument counterparties. If these counterparties that make up the concentration failed to perform according to the terms of their contracts at July 31, 2020, the maximum amount of loss due to credit risk that Ferrellgas, L.P. would incur, based upon the gross fair values of the derivative financial instruments, is zero.</w:t>
      </w:r>
    </w:p>
    <w:p>
      <w:pPr>
        <w:spacing w:after="0" w:line="168"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From time to time Ferrellgas, L.P. enters into derivative contracts that have credit-risk-related contingent features which dictate credit limits based upon Ferrellgas, L.P.’s debt rating. There were no open derivative contracts with credit-risk-related contingent features as of July 31, 2020.</w:t>
      </w:r>
    </w:p>
    <w:p>
      <w:pPr>
        <w:spacing w:after="0" w:line="180" w:lineRule="exact"/>
        <w:rPr>
          <w:sz w:val="20"/>
          <w:szCs w:val="20"/>
          <w:color w:val="auto"/>
        </w:rPr>
      </w:pPr>
    </w:p>
    <w:p>
      <w:pPr>
        <w:ind w:left="440" w:hanging="390"/>
        <w:spacing w:after="0"/>
        <w:tabs>
          <w:tab w:leader="none" w:pos="4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Ferrellgas, L.P. has no employees and is managed and controlled by its general partner. Pursuant to</w:t>
      </w:r>
    </w:p>
    <w:p>
      <w:pPr>
        <w:spacing w:after="0" w:line="23" w:lineRule="exact"/>
        <w:rPr>
          <w:sz w:val="20"/>
          <w:szCs w:val="20"/>
          <w:color w:val="auto"/>
        </w:rPr>
      </w:pPr>
    </w:p>
    <w:p>
      <w:pPr>
        <w:ind w:left="60" w:right="79"/>
        <w:spacing w:after="0" w:line="323" w:lineRule="auto"/>
        <w:rPr>
          <w:sz w:val="20"/>
          <w:szCs w:val="20"/>
          <w:color w:val="auto"/>
        </w:rPr>
      </w:pPr>
      <w:r>
        <w:rPr>
          <w:rFonts w:ascii="Arial" w:cs="Arial" w:eastAsia="Arial" w:hAnsi="Arial"/>
          <w:sz w:val="16"/>
          <w:szCs w:val="16"/>
          <w:color w:val="auto"/>
        </w:rPr>
        <w:t>Ferrellgas, L.P.’s partnership agreement, the general partner is entitled to reimbursement for all direct and indirect expenses incurred or payments it makes on behalf of Ferrellgas, L.P., and all other necessary or appropriate expenses</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0" w:name="page191"/>
    <w:bookmarkEnd w:id="1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allocable to Ferrellgas, L.P. or otherwise reasonably incurred by its general partner in connection with operating Ferrellgas, L.P.’s business. These costs primarily include compensation and benefits paid to employees of the general partner who perform services on Ferrellgas, L.P.’s behalf and are reported in the consolidated statements of operations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476"/>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additional discussions about transactions with the general partner and related parties in Note J – Partners’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deficit.</w:t>
      </w:r>
    </w:p>
    <w:p>
      <w:pPr>
        <w:spacing w:after="0" w:line="207" w:lineRule="exact"/>
        <w:rPr>
          <w:sz w:val="20"/>
          <w:szCs w:val="20"/>
          <w:color w:val="auto"/>
        </w:rPr>
      </w:pPr>
    </w:p>
    <w:p>
      <w:pPr>
        <w:ind w:left="460" w:hanging="410"/>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Ferrellgas, L.P.’s operations are subject to all operating hazards and risks normally incidental to handling, storing, transporting and otherwise providing for use by consumers of combustible liquids such as propane and, prior to the sales of midstream operations in fiscal 2018, crude oil. As a result, at any given time, Ferrellgas, L.P. can be threatened with or named as a defendant in various lawsuits arising in the ordinary course of business. Other than as discussed below, Ferrellgas, L.P.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 L.P.</w:t>
      </w:r>
    </w:p>
    <w:p>
      <w:pPr>
        <w:spacing w:after="0" w:line="165"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Ferrellgas, L.P. has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Ferrellgas, L.P. reached a settlement with the direct customers, pursuant to which it agreed to pay a total of $6.25 million to resolve all claims asserted by the putative direct purchaser class. With respect to the indirect customers, the district court exercised supplemental jurisdiction over the remaining state law claims, but then granted in part Ferrellgas’ pleadings-based motion and dismissed 11 of the 24 remaining state law claims. As a result, there are 13 remaining state law claims brought by a putative class of indirect customers. Ferrellgas, L.P. believes it has strong defenses and intends to vigorously defend itself against these remaining claims. Ferrellgas, L.P. does not believe loss is probable or reasonably estimable at this time related to the putative class action lawsuit.</w:t>
      </w:r>
    </w:p>
    <w:p>
      <w:pPr>
        <w:spacing w:after="0" w:line="169"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Ferrellgas, L.P.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Ferrellgas transferred assets out of JTS prior to the sale of the membership interest in JTS to Jamex Transfer Holdings, and that those transfers should be avoided so that the assets can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1" w:name="page192"/>
    <w:bookmarkEnd w:id="1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be used to satisfy the amount owed by JTS to Eddystone as a result of the arbitration. Eddystone also alleges that JTS was an “alter ego” of Bridger and Ferrellgas and that Bridger and Ferrellgas breached fiduciary duties owed to Eddystone as a creditor of JTS. Ferrellgas believes that Ferrellgas and Bridger have valid defenses to these claims and to Eddystone’s primary claim against JTS for breach of contract. The lawsuit does not specify a specific amount of damages that Eddystone is seeking; however, Ferrellgas believes that the amount of such damages, if ultimately owed to Eddystone, could be material to Ferrellgas. Ferrellgas intends to vigorously defend this claim. On August 24, 2017, Ferrellgas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Ferrellgas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debt-related commitments</w:t>
      </w:r>
    </w:p>
    <w:p>
      <w:pPr>
        <w:spacing w:after="0" w:line="225"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Ferrellgas, L.P. has long and short-term payment obligations under agreements such as the indentures governing its senior notes. See Note I – Debt – for a description of these debt obligations and a schedule of future maturities.</w:t>
      </w:r>
    </w:p>
    <w:p>
      <w:pPr>
        <w:spacing w:after="0" w:line="349" w:lineRule="exact"/>
        <w:rPr>
          <w:sz w:val="20"/>
          <w:szCs w:val="20"/>
          <w:color w:val="auto"/>
        </w:rPr>
      </w:pPr>
    </w:p>
    <w:p>
      <w:pPr>
        <w:ind w:left="360" w:hanging="310"/>
        <w:spacing w:after="0"/>
        <w:tabs>
          <w:tab w:leader="none" w:pos="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Ferrellgas, L.P. has no employees and is managed and controlled by its general partner. Ferrellgas, L.P. assumes all liabilities, which include specific liabilities related to the following employee benefit plans for the benefit of the officers and employees of the general partner.</w:t>
      </w:r>
    </w:p>
    <w:p>
      <w:pPr>
        <w:spacing w:after="0" w:line="184"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Ferrell Companies makes contributions to the employee stock ownership trust (the “Trust”), which causes a portion of the shares of Ferrell Companies owned by the Trust to be allocated to employees’ accounts over time. The allocation of Ferrell Companies’ shares to employee accounts causes a non-cash compensation charge to be incurred by Ferrellgas, L.P., equivalent to the fair value of such shares allocated. This non-cash compensation charge is reported separately in Ferrellgas, L.P.’s consolidated statements of operations and thus is excluded from operating and general and administrative expenses. The non-cash compensation charges were $2.9 million, $5.7 million and $13.9 million during fiscal 2020, 2019 and 2018, respectively. Ferrellgas, L.P. is not obligated to fund or make contributions to the Trust.</w:t>
      </w:r>
    </w:p>
    <w:p>
      <w:pPr>
        <w:spacing w:after="0" w:line="166"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The general partner and its parent, Ferrell Companies, have a defined contribution 401(k) investment plan which covers substantially all employees. The plan, which qualifies under section 401(k) of the Internal Revenue Code, also provides for matching contributions under a cash or deferred arrangement based upon participant salaries and employee contributions to the plan. Matching contributions for fiscal 2020, 2019 and 2018 were $4.8 million, $4.6 million and $3.7 million, respectively.</w:t>
      </w:r>
    </w:p>
    <w:p>
      <w:pPr>
        <w:spacing w:after="0" w:line="18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general partner terminated its defined benefit plan on December 15, 2018 and distributed account balances to participants in the form of lump sum payments or annuity contracts in September, 2019. The defined benefit plan trust account was closed and all remaining funds were rolled into the Ferrell Companies, Inc. Employee Stock Ownership Trust as a plan contribution in December 2019. Prior to termination, this plan provided participants who were covered under a previously terminated plan with a guaranteed retirement benefit at least equal to the benefit they would have received under the prior terminated plan. Until July 31, 1999, benefits under the terminated plan were determined by years of credited service and salary levels. As of July 31, 1999, years of credited service and salary levels were frozen. The general partner’s prior funding policy for this plan was to contribute amounts deductible for Federal income tax purposes and invest the plan assets primarily in corporate stocks and bonds, U.S. Treasury bonds and short-term cash investments. During fiscal 2020, 2019 and 2018, other comprehensive income and other liabilities were adjusted by $(0.1) million, $(0.1) million and $0.1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2" w:name="page193"/>
    <w:bookmarkEnd w:id="1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10"/>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data (unaudited)</w:t>
      </w:r>
    </w:p>
    <w:p>
      <w:pPr>
        <w:spacing w:after="0" w:line="229"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The following summarized unaudited quarterly data includes all adjustments (consisting only of normal recurring adjustments, with the exception of those items indicated below), which Ferrellgas, L.P. considers necessary for a fair presentation. Due to the seasonality of the propane distribution business, first and fourth quarter Revenues, gross margin from propane and other gas liquids sales and Net earnings are consistently less than the second and third quarter results. Other factors affecting the results of operations include competitive conditions, demand for product, timing of acquisitions, variations in the weather and fluctuations in propane prices.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 2020</w:t>
            </w:r>
          </w:p>
        </w:tc>
        <w:tc>
          <w:tcPr>
            <w:tcW w:w="14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First quarter</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1"/>
              </w:rPr>
              <w:t>Second quarter</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Third quarter</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Fourth quarter</w:t>
            </w:r>
          </w:p>
        </w:tc>
      </w:tr>
      <w:tr>
        <w:trPr>
          <w:trHeight w:val="209"/>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$ 293,214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510,833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412,130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281,649</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Gross margin from propane and other gas liquids sales (a)</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139,357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215,480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140,497</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(b)</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(36,898)</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(62,902)</w:t>
            </w:r>
          </w:p>
        </w:tc>
      </w:tr>
      <w:tr>
        <w:trPr>
          <w:trHeight w:val="40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 2019</w:t>
            </w: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First quarter</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w w:val="91"/>
              </w:rPr>
              <w:t>Second quarter</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Third quarter</w:t>
            </w:r>
          </w:p>
        </w:tc>
        <w:tc>
          <w:tcPr>
            <w:tcW w:w="1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Fourth quarter</w:t>
            </w: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$ 352,309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573,377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479,625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279,081</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Gross margin from propane and other gas liquids sales (a)</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130,830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238,581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209,167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127,764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(48,814)</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29,554</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(62,874)</w:t>
            </w:r>
          </w:p>
        </w:tc>
      </w:tr>
      <w:tr>
        <w:trPr>
          <w:trHeight w:val="392"/>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July 31, 2018</w:t>
            </w:r>
          </w:p>
        </w:tc>
        <w:tc>
          <w:tcPr>
            <w:tcW w:w="14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First quarter</w:t>
            </w:r>
          </w:p>
        </w:tc>
        <w:tc>
          <w:tcPr>
            <w:tcW w:w="14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1"/>
              </w:rPr>
              <w:t>Second quarter</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Third quarter</w:t>
            </w:r>
          </w:p>
        </w:tc>
        <w:tc>
          <w:tcPr>
            <w:tcW w:w="1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Fourth quarter</w:t>
            </w: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$ 454,655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515,810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347,521</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Gross margin from propane and other gas liquids sales (a)</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123,243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190,883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126,115</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from midstream operations (c)</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Net earnings (loss) (d)</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(39,699)</w:t>
            </w: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6,847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19,840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ind w:left="380" w:right="199" w:hanging="330"/>
        <w:spacing w:after="0" w:line="277" w:lineRule="auto"/>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Gross margin from “Propane and other gas liquids sales” represents “Revenues - propane and other gas liquids sales” less “Cost of sales – propane and other gas liquids sales.”</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Includes loss on extinguishment of debt of $37.4 million in the third quarter of fiscal 2020.</w:t>
      </w:r>
    </w:p>
    <w:p>
      <w:pPr>
        <w:spacing w:after="0" w:line="225" w:lineRule="exact"/>
        <w:rPr>
          <w:rFonts w:ascii="Arial" w:cs="Arial" w:eastAsia="Arial" w:hAnsi="Arial"/>
          <w:sz w:val="18"/>
          <w:szCs w:val="18"/>
          <w:color w:val="auto"/>
        </w:rPr>
      </w:pPr>
    </w:p>
    <w:p>
      <w:pPr>
        <w:ind w:left="380" w:right="659" w:hanging="330"/>
        <w:spacing w:after="0" w:line="277" w:lineRule="auto"/>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Gross margin from “Midstream operations” represents “Revenues - midstream operations” less “Cost of sales - midstream operations.”</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Includes asset impairment charges of $10.0 million in the second quarter of fiscal 2018.</w:t>
      </w:r>
    </w:p>
    <w:p>
      <w:pPr>
        <w:spacing w:after="0" w:line="221" w:lineRule="exact"/>
        <w:rPr>
          <w:sz w:val="20"/>
          <w:szCs w:val="20"/>
          <w:color w:val="auto"/>
        </w:rPr>
      </w:pPr>
    </w:p>
    <w:p>
      <w:pPr>
        <w:ind w:left="400" w:hanging="350"/>
        <w:spacing w:after="0"/>
        <w:tabs>
          <w:tab w:leader="none" w:pos="4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financial information</w:t>
      </w:r>
    </w:p>
    <w:p>
      <w:pPr>
        <w:spacing w:after="0" w:line="229" w:lineRule="exact"/>
        <w:rPr>
          <w:sz w:val="20"/>
          <w:szCs w:val="20"/>
          <w:color w:val="auto"/>
        </w:rPr>
      </w:pPr>
    </w:p>
    <w:p>
      <w:pPr>
        <w:ind w:left="60" w:right="139" w:firstLine="648"/>
        <w:spacing w:after="0" w:line="285" w:lineRule="auto"/>
        <w:rPr>
          <w:sz w:val="20"/>
          <w:szCs w:val="20"/>
          <w:color w:val="auto"/>
        </w:rPr>
      </w:pPr>
      <w:r>
        <w:rPr>
          <w:rFonts w:ascii="Arial" w:cs="Arial" w:eastAsia="Arial" w:hAnsi="Arial"/>
          <w:sz w:val="16"/>
          <w:szCs w:val="16"/>
          <w:color w:val="auto"/>
        </w:rPr>
        <w:t>The $500.0 million aggregate principal amount of registered 6.75% senior notes due 2023 co-issued by Ferrellgas, L.P. and Ferrellgas Finance Corp. are fully and unconditionally and jointly and severally guaranteed by all of Ferrellgas, L.P.’s 100% owned subsidiaries except: (i) Ferrellgas Finance Corp; (ii) certain special purposes subsidiaries formed for use in connection with our accounts receivable securitization; and (iii) foreign subsidiaries. Guarantees of these senior notes will be released under certain circumstances, including (i) in connection with any sale or other disposition of</w:t>
      </w:r>
    </w:p>
    <w:p>
      <w:pPr>
        <w:spacing w:after="0" w:line="2" w:lineRule="exact"/>
        <w:rPr>
          <w:sz w:val="20"/>
          <w:szCs w:val="20"/>
          <w:color w:val="auto"/>
        </w:rPr>
      </w:pPr>
    </w:p>
    <w:p>
      <w:pPr>
        <w:jc w:val="both"/>
        <w:ind w:left="60" w:right="259" w:hanging="10"/>
        <w:spacing w:after="0" w:line="281" w:lineRule="auto"/>
        <w:tabs>
          <w:tab w:leader="none" w:pos="3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or substantially all of the assets of a guarantor or (b) all of the capital stock of such guarantor (including by way of merger or consolidation), in each case, to a person that is not Ferrellgas, L.P. or a restricted subsidiary of Ferrellgas, L.P.,</w:t>
      </w:r>
    </w:p>
    <w:p>
      <w:pPr>
        <w:spacing w:after="0" w:line="1" w:lineRule="exact"/>
        <w:rPr>
          <w:rFonts w:ascii="Arial" w:cs="Arial" w:eastAsia="Arial" w:hAnsi="Arial"/>
          <w:sz w:val="16"/>
          <w:szCs w:val="16"/>
          <w:color w:val="auto"/>
        </w:rPr>
      </w:pPr>
    </w:p>
    <w:p>
      <w:pPr>
        <w:ind w:left="60" w:right="219" w:hanging="10"/>
        <w:spacing w:after="0" w:line="277" w:lineRule="auto"/>
        <w:tabs>
          <w:tab w:leader="none" w:pos="32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Ferrellgas, L.P. designates any restricted subsidiary that is a guarantor as an unrestricted subsidiary, (iii) upon defeasance or discharge of the notes, (iv) upon the liquidation or dissolution of such guarantor, or (v) at such time as such guarantor ceases to guarantee any other indebtedness of either of the issuers and any other guarantor.</w:t>
      </w:r>
    </w:p>
    <w:p>
      <w:pPr>
        <w:spacing w:after="0" w:line="173"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guarantor financial information discloses in separate columns the financial position, results of operations and the cash flows of Ferrellgas, L.P. (Parent), Ferrellgas Finance Corp. (co-issuer), Ferrellgas, L.P.’s guarantor subsidiaries on a combined basis, and Ferrellgas, L.P.’s non-guarantor subsidiaries on a combined basis. The dates and the periods presented in the guarantor financial information are consistent with the periods presented in Ferrellgas, L.P.’s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3" w:name="page194"/>
    <w:bookmarkEnd w:id="1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8"/>
              </w:rPr>
              <w:t>As of July 31,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i w:val="1"/>
                <w:iCs w:val="1"/>
                <w:color w:val="auto"/>
                <w:w w:val="89"/>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b w:val="1"/>
                <w:bCs w:val="1"/>
                <w:i w:val="1"/>
                <w:iCs w:val="1"/>
                <w:color w:val="auto"/>
                <w:w w:val="92"/>
              </w:rPr>
              <w:t>Ferrellgas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Arial" w:cs="Arial" w:eastAsia="Arial" w:hAnsi="Arial"/>
                <w:sz w:val="14"/>
                <w:szCs w:val="14"/>
                <w:b w:val="1"/>
                <w:bCs w:val="1"/>
                <w:i w:val="1"/>
                <w:iCs w:val="1"/>
                <w:color w:val="auto"/>
                <w:w w:val="90"/>
              </w:rPr>
              <w:t>(Parent and</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Finance Corp.</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97"/>
              </w:rPr>
              <w:t>Guarantor</w:t>
            </w:r>
          </w:p>
        </w:tc>
        <w:tc>
          <w:tcPr>
            <w:tcW w:w="10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i w:val="1"/>
                <w:iCs w:val="1"/>
                <w:color w:val="auto"/>
                <w:w w:val="92"/>
              </w:rPr>
              <w:t>Non-Guarantor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6"/>
              <w:spacing w:after="0"/>
              <w:rPr>
                <w:sz w:val="20"/>
                <w:szCs w:val="20"/>
                <w:color w:val="auto"/>
              </w:rPr>
            </w:pPr>
            <w:r>
              <w:rPr>
                <w:rFonts w:ascii="Arial" w:cs="Arial" w:eastAsia="Arial" w:hAnsi="Arial"/>
                <w:sz w:val="14"/>
                <w:szCs w:val="14"/>
                <w:b w:val="1"/>
                <w:bCs w:val="1"/>
                <w:i w:val="1"/>
                <w:iCs w:val="1"/>
                <w:color w:val="auto"/>
                <w:w w:val="89"/>
              </w:rPr>
              <w:t>Co-Issuer)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i w:val="1"/>
                <w:iCs w:val="1"/>
                <w:color w:val="auto"/>
                <w:w w:val="91"/>
              </w:rPr>
              <w:t>(Co-Issuer)</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6"/>
              </w:rPr>
              <w:t>Subsidiaries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i w:val="1"/>
                <w:iCs w:val="1"/>
                <w:color w:val="auto"/>
                <w:w w:val="86"/>
              </w:rPr>
              <w:t>Subsidiaries</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Eliminations</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0"/>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332,244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Accounts and notes receivable,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89,535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Intercompany receivables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72,664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72,664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Prepaid expenses and other current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ind w:left="200"/>
              <w:spacing w:after="0"/>
              <w:rPr>
                <w:sz w:val="20"/>
                <w:szCs w:val="20"/>
                <w:color w:val="auto"/>
              </w:rPr>
            </w:pPr>
            <w:r>
              <w:rPr>
                <w:rFonts w:ascii="Arial" w:cs="Arial" w:eastAsia="Arial" w:hAnsi="Arial"/>
                <w:sz w:val="17"/>
                <w:szCs w:val="17"/>
                <w:b w:val="1"/>
                <w:bCs w:val="1"/>
                <w:color w:val="auto"/>
              </w:rPr>
              <w:t>Total current assets</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522,664</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91,045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(69,980)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543,754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591,042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591,042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Goodwill,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247,195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104,049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104,049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2"/>
              </w:rPr>
              <w:t>Investments in consolidated subsidiaries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107,349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107,349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Other assets,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20" w:type="dxa"/>
            <w:vAlign w:val="bottom"/>
            <w:tcBorders>
              <w:bottom w:val="single" w:sz="8" w:color="CCEEFF"/>
            </w:tcBorders>
          </w:tcPr>
          <w:p>
            <w:pPr>
              <w:ind w:left="80"/>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1,682,098</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2,279</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91,401</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(107,642)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1,668,137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820" w:type="dxa"/>
            <w:vAlign w:val="bottom"/>
          </w:tcPr>
          <w:p>
            <w:pPr>
              <w:spacing w:after="0" w:line="180" w:lineRule="exact"/>
              <w:rPr>
                <w:sz w:val="20"/>
                <w:szCs w:val="20"/>
                <w:color w:val="auto"/>
              </w:rPr>
            </w:pPr>
            <w:r>
              <w:rPr>
                <w:rFonts w:ascii="Arial" w:cs="Arial" w:eastAsia="Arial" w:hAnsi="Arial"/>
                <w:sz w:val="17"/>
                <w:szCs w:val="17"/>
                <w:b w:val="1"/>
                <w:bCs w:val="1"/>
                <w:color w:val="auto"/>
              </w:rPr>
              <w:t>LIABILITIES AND PARTNERS'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spacing w:after="0"/>
              <w:rPr>
                <w:sz w:val="20"/>
                <w:szCs w:val="20"/>
                <w:color w:val="auto"/>
              </w:rPr>
            </w:pPr>
            <w:r>
              <w:rPr>
                <w:rFonts w:ascii="Arial" w:cs="Arial" w:eastAsia="Arial" w:hAnsi="Arial"/>
                <w:sz w:val="17"/>
                <w:szCs w:val="17"/>
                <w:b w:val="1"/>
                <w:bCs w:val="1"/>
                <w:color w:val="auto"/>
              </w:rPr>
              <w:t>CAPITAL (DEFICIT)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33,944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Intercompany payables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502,095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Current operating lease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Other current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162,097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148,136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727,481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56,019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(69,980)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713,520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1,646,396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1,646,396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Contingencies and commitments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b w:val="1"/>
                <w:bCs w:val="1"/>
                <w:color w:val="auto"/>
              </w:rPr>
              <w:t>Partners' capital (deficit):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Partners' equity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(829,678)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(829,678)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Pr>
          <w:p>
            <w:pPr>
              <w:ind w:left="80"/>
              <w:spacing w:after="0" w:line="185" w:lineRule="exact"/>
              <w:rPr>
                <w:sz w:val="20"/>
                <w:szCs w:val="20"/>
                <w:color w:val="auto"/>
              </w:rPr>
            </w:pPr>
            <w:r>
              <w:rPr>
                <w:rFonts w:ascii="Arial" w:cs="Arial" w:eastAsia="Arial" w:hAnsi="Arial"/>
                <w:sz w:val="17"/>
                <w:szCs w:val="17"/>
                <w:color w:val="auto"/>
              </w:rPr>
              <w:t>Accumulated other comprehensive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Total partners' capital (deficit)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(831,991)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35,382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(831,991)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tcPr>
          <w:p>
            <w:pPr>
              <w:ind w:left="200"/>
              <w:spacing w:after="0" w:line="161" w:lineRule="exact"/>
              <w:rPr>
                <w:sz w:val="20"/>
                <w:szCs w:val="20"/>
                <w:color w:val="auto"/>
              </w:rPr>
            </w:pPr>
            <w:r>
              <w:rPr>
                <w:rFonts w:ascii="Arial" w:cs="Arial" w:eastAsia="Arial" w:hAnsi="Arial"/>
                <w:sz w:val="17"/>
                <w:szCs w:val="17"/>
                <w:b w:val="1"/>
                <w:bCs w:val="1"/>
                <w:color w:val="auto"/>
              </w:rPr>
              <w:t>Total liabilities and partners'</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1,682,098</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vMerge w:val="restart"/>
          </w:tcPr>
          <w:p>
            <w:pPr>
              <w:jc w:val="right"/>
              <w:ind w:right="27"/>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2,279</w:t>
            </w:r>
          </w:p>
        </w:tc>
        <w:tc>
          <w:tcPr>
            <w:tcW w:w="240" w:type="dxa"/>
            <w:vAlign w:val="bottom"/>
            <w:gridSpan w:val="2"/>
            <w:vMerge w:val="restart"/>
          </w:tcPr>
          <w:p>
            <w:pPr>
              <w:ind w:left="140"/>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91,401</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w w:val="96"/>
              </w:rPr>
              <w:t>(107,642)</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w w:val="92"/>
              </w:rPr>
              <w:t>1,668,137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7"/>
                <w:szCs w:val="17"/>
                <w:b w:val="1"/>
                <w:bCs w:val="1"/>
                <w:color w:val="auto"/>
              </w:rPr>
              <w:t>capital (deficit)</w:t>
            </w:r>
          </w:p>
        </w:tc>
        <w:tc>
          <w:tcPr>
            <w:tcW w:w="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4" w:name="page195"/>
    <w:bookmarkEnd w:id="1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8"/>
              </w:rPr>
              <w:t>As of July 31, 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4"/>
                <w:szCs w:val="14"/>
                <w:b w:val="1"/>
                <w:bCs w:val="1"/>
                <w:i w:val="1"/>
                <w:iCs w:val="1"/>
                <w:color w:val="auto"/>
                <w:w w:val="91"/>
              </w:rPr>
              <w:t>Ferrellgas, L.P.</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6"/>
              <w:spacing w:after="0" w:line="123" w:lineRule="exact"/>
              <w:rPr>
                <w:sz w:val="20"/>
                <w:szCs w:val="20"/>
                <w:color w:val="auto"/>
              </w:rPr>
            </w:pPr>
            <w:r>
              <w:rPr>
                <w:rFonts w:ascii="Arial" w:cs="Arial" w:eastAsia="Arial" w:hAnsi="Arial"/>
                <w:sz w:val="14"/>
                <w:szCs w:val="14"/>
                <w:b w:val="1"/>
                <w:bCs w:val="1"/>
                <w:i w:val="1"/>
                <w:iCs w:val="1"/>
                <w:color w:val="auto"/>
                <w:w w:val="92"/>
              </w:rPr>
              <w:t>Ferrellgas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6"/>
              <w:spacing w:after="0" w:line="149" w:lineRule="exact"/>
              <w:rPr>
                <w:sz w:val="20"/>
                <w:szCs w:val="20"/>
                <w:color w:val="auto"/>
              </w:rPr>
            </w:pPr>
            <w:r>
              <w:rPr>
                <w:rFonts w:ascii="Arial" w:cs="Arial" w:eastAsia="Arial" w:hAnsi="Arial"/>
                <w:sz w:val="14"/>
                <w:szCs w:val="14"/>
                <w:b w:val="1"/>
                <w:bCs w:val="1"/>
                <w:i w:val="1"/>
                <w:iCs w:val="1"/>
                <w:color w:val="auto"/>
                <w:w w:val="90"/>
              </w:rPr>
              <w:t>(Parent and</w:t>
            </w:r>
          </w:p>
        </w:tc>
        <w:tc>
          <w:tcPr>
            <w:tcW w:w="1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w w:val="92"/>
              </w:rPr>
              <w:t>Finance Corp.</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97"/>
              </w:rPr>
              <w:t>Guarantor</w:t>
            </w:r>
          </w:p>
        </w:tc>
        <w:tc>
          <w:tcPr>
            <w:tcW w:w="11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Non-Guarantor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i w:val="1"/>
                <w:iCs w:val="1"/>
                <w:color w:val="auto"/>
                <w:w w:val="95"/>
              </w:rPr>
              <w:t>Co-Issuer)</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i w:val="1"/>
                <w:iCs w:val="1"/>
                <w:color w:val="auto"/>
                <w:w w:val="89"/>
              </w:rPr>
              <w:t>(Co-Issuer)</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4"/>
              </w:rPr>
              <w:t>Subsidiaries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i w:val="1"/>
                <w:iCs w:val="1"/>
                <w:color w:val="auto"/>
                <w:w w:val="86"/>
              </w:rPr>
              <w:t>Subsidiaries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w w:val="91"/>
              </w:rPr>
              <w:t>Eliminations</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Accounts and notes receivable,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111,473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Intercompany receivables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80,454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80,454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Prepaid expenses and other current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42,158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ind w:left="200"/>
              <w:spacing w:after="0"/>
              <w:rPr>
                <w:sz w:val="20"/>
                <w:szCs w:val="20"/>
                <w:color w:val="auto"/>
              </w:rPr>
            </w:pPr>
            <w:r>
              <w:rPr>
                <w:rFonts w:ascii="Arial" w:cs="Arial" w:eastAsia="Arial" w:hAnsi="Arial"/>
                <w:sz w:val="17"/>
                <w:szCs w:val="17"/>
                <w:b w:val="1"/>
                <w:bCs w:val="1"/>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124,095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111,473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241,253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596,724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596,723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Goodwill,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108,557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2"/>
              </w:rPr>
              <w:t>Investments in consolidated subsidiaries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(52,999)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 net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65,447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1,195,017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112,256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(47,349)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1,262,833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82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LIABILITIES AND PARTNERS'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 (DEFICIT)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33,252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Short-term borrowings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Collateralized note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Intercompany payables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128,666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549,696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1,457,004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1,457,004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36,469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Contingencies and commitments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Partners' capital (deficit):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Partners'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(765,756)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49,985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(52,999)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(765,756)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Accumulated other comprehensive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(14,647)</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CCEEFF"/>
            </w:tcBorders>
          </w:tcPr>
          <w:p>
            <w:pPr>
              <w:ind w:left="200"/>
              <w:spacing w:after="0"/>
              <w:rPr>
                <w:sz w:val="20"/>
                <w:szCs w:val="20"/>
                <w:color w:val="auto"/>
              </w:rPr>
            </w:pPr>
            <w:r>
              <w:rPr>
                <w:rFonts w:ascii="Arial" w:cs="Arial" w:eastAsia="Arial" w:hAnsi="Arial"/>
                <w:sz w:val="17"/>
                <w:szCs w:val="17"/>
                <w:b w:val="1"/>
                <w:bCs w:val="1"/>
                <w:color w:val="auto"/>
              </w:rPr>
              <w:t>Total partners' capital (deficit)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(780,403)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49,985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(52,999)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(780,403)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shd w:val="clear" w:color="auto" w:fill="CCEEFF"/>
          </w:tcPr>
          <w:p>
            <w:pPr>
              <w:ind w:left="200"/>
              <w:spacing w:after="0" w:line="161" w:lineRule="exact"/>
              <w:rPr>
                <w:sz w:val="20"/>
                <w:szCs w:val="20"/>
                <w:color w:val="auto"/>
              </w:rPr>
            </w:pPr>
            <w:r>
              <w:rPr>
                <w:rFonts w:ascii="Arial" w:cs="Arial" w:eastAsia="Arial" w:hAnsi="Arial"/>
                <w:sz w:val="17"/>
                <w:szCs w:val="17"/>
                <w:b w:val="1"/>
                <w:bCs w:val="1"/>
                <w:color w:val="auto"/>
              </w:rPr>
              <w:t>Total liabilities and partners'</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1,195,017</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112,256</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(47,349)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5"/>
              </w:rPr>
              <w:t>1,262,833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7"/>
                <w:szCs w:val="17"/>
                <w:b w:val="1"/>
                <w:bCs w:val="1"/>
                <w:color w:val="auto"/>
              </w:rPr>
              <w:t>capital (deficit)</w:t>
            </w:r>
          </w:p>
        </w:tc>
        <w:tc>
          <w:tcPr>
            <w:tcW w:w="2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5" w:name="page196"/>
    <w:bookmarkEnd w:id="1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For the year ended July 31, 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4"/>
                <w:szCs w:val="14"/>
                <w:b w:val="1"/>
                <w:bCs w:val="1"/>
                <w:i w:val="1"/>
                <w:iCs w:val="1"/>
                <w:color w:val="auto"/>
                <w:w w:val="89"/>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
              <w:spacing w:after="0" w:line="123" w:lineRule="exact"/>
              <w:rPr>
                <w:sz w:val="20"/>
                <w:szCs w:val="20"/>
                <w:color w:val="auto"/>
              </w:rPr>
            </w:pPr>
            <w:r>
              <w:rPr>
                <w:rFonts w:ascii="Arial" w:cs="Arial" w:eastAsia="Arial" w:hAnsi="Arial"/>
                <w:sz w:val="14"/>
                <w:szCs w:val="14"/>
                <w:b w:val="1"/>
                <w:bCs w:val="1"/>
                <w:i w:val="1"/>
                <w:iCs w:val="1"/>
                <w:color w:val="auto"/>
                <w:w w:val="92"/>
              </w:rPr>
              <w:t>Ferrellgas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i w:val="1"/>
                <w:iCs w:val="1"/>
                <w:color w:val="auto"/>
                <w:w w:val="90"/>
              </w:rPr>
              <w:t>(Parent and</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Finance Corp.</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Guarantor</w:t>
            </w:r>
          </w:p>
        </w:tc>
        <w:tc>
          <w:tcPr>
            <w:tcW w:w="1160" w:type="dxa"/>
            <w:vAlign w:val="bottom"/>
            <w:gridSpan w:val="4"/>
          </w:tcPr>
          <w:p>
            <w:pPr>
              <w:ind w:left="140"/>
              <w:spacing w:after="0" w:line="149" w:lineRule="exact"/>
              <w:rPr>
                <w:sz w:val="20"/>
                <w:szCs w:val="20"/>
                <w:color w:val="auto"/>
              </w:rPr>
            </w:pPr>
            <w:r>
              <w:rPr>
                <w:rFonts w:ascii="Arial" w:cs="Arial" w:eastAsia="Arial" w:hAnsi="Arial"/>
                <w:sz w:val="14"/>
                <w:szCs w:val="14"/>
                <w:b w:val="1"/>
                <w:bCs w:val="1"/>
                <w:i w:val="1"/>
                <w:iCs w:val="1"/>
                <w:color w:val="auto"/>
              </w:rPr>
              <w:t>Non-Guarantor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i w:val="1"/>
                <w:iCs w:val="1"/>
                <w:color w:val="auto"/>
                <w:w w:val="95"/>
              </w:rPr>
              <w:t>Co-Issuer)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(Co-Issuer)</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88"/>
              </w:rPr>
              <w:t>Subsidiaries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8"/>
              </w:rPr>
              <w:t>Eliminations</w:t>
            </w:r>
          </w:p>
        </w:tc>
        <w:tc>
          <w:tcPr>
            <w:tcW w:w="160" w:type="dxa"/>
            <w:vAlign w:val="bottom"/>
          </w:tcPr>
          <w:p>
            <w:pPr>
              <w:spacing w:after="0"/>
              <w:rPr>
                <w:sz w:val="14"/>
                <w:szCs w:val="14"/>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w w:val="92"/>
              </w:rPr>
              <w:t>Consolidated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4"/>
              </w:rPr>
              <w:t>Propane and other gas liquids sales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1,415,791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1,415,791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1,497,826</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1,497,826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Cost of sales - propane and 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gas liquids sales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Cost of sales -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Operating expense - personnel,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vehicle, plant and other</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100"/>
              <w:spacing w:after="0" w:line="201" w:lineRule="exact"/>
              <w:rPr>
                <w:sz w:val="20"/>
                <w:szCs w:val="20"/>
                <w:color w:val="auto"/>
              </w:rPr>
            </w:pPr>
            <w:r>
              <w:rPr>
                <w:rFonts w:ascii="Arial" w:cs="Arial" w:eastAsia="Arial" w:hAnsi="Arial"/>
                <w:sz w:val="18"/>
                <w:szCs w:val="18"/>
                <w:color w:val="auto"/>
              </w:rPr>
              <w:t>Operating expense - equipment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lease 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3"/>
              </w:rPr>
              <w:t>General and administrative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Non-cash employee stock</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ownership plan compensation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charge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8"/>
              </w:rPr>
              <w:t>Loss on asset sales and disposals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(156,286)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w w:val="90"/>
              </w:rPr>
              <w:t>Earnings (loss) before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in earnings (loss) of subsidiary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F-88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6" w:name="page197"/>
    <w:bookmarkEnd w:id="1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For the year ended July 31, 2019</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i w:val="1"/>
                <w:iCs w:val="1"/>
                <w:color w:val="auto"/>
                <w:w w:val="91"/>
              </w:rPr>
              <w:t>Ferrellgas, L.P.</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2"/>
              <w:spacing w:after="0" w:line="123" w:lineRule="exact"/>
              <w:rPr>
                <w:sz w:val="20"/>
                <w:szCs w:val="20"/>
                <w:color w:val="auto"/>
              </w:rPr>
            </w:pPr>
            <w:r>
              <w:rPr>
                <w:rFonts w:ascii="Arial" w:cs="Arial" w:eastAsia="Arial" w:hAnsi="Arial"/>
                <w:sz w:val="14"/>
                <w:szCs w:val="14"/>
                <w:b w:val="1"/>
                <w:bCs w:val="1"/>
                <w:i w:val="1"/>
                <w:iCs w:val="1"/>
                <w:color w:val="auto"/>
                <w:w w:val="92"/>
              </w:rPr>
              <w:t>Ferrellgas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i w:val="1"/>
                <w:iCs w:val="1"/>
                <w:color w:val="auto"/>
                <w:w w:val="93"/>
              </w:rPr>
              <w:t>(Parent and</w:t>
            </w:r>
          </w:p>
        </w:tc>
        <w:tc>
          <w:tcPr>
            <w:tcW w:w="14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w w:val="92"/>
              </w:rPr>
              <w:t>Finance Corp.</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97"/>
              </w:rPr>
              <w:t>Guarantor</w:t>
            </w: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i w:val="1"/>
                <w:iCs w:val="1"/>
                <w:color w:val="auto"/>
              </w:rPr>
              <w:t>Non-Guarantor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i w:val="1"/>
                <w:iCs w:val="1"/>
                <w:color w:val="auto"/>
                <w:w w:val="92"/>
              </w:rPr>
              <w:t>Co-Issuer)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i w:val="1"/>
                <w:iCs w:val="1"/>
                <w:color w:val="auto"/>
                <w:w w:val="89"/>
              </w:rPr>
              <w:t>(Co-Issuer)</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6"/>
              </w:rPr>
              <w:t>Subsidiaries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Subsidiaries</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Eliminations</w:t>
            </w:r>
          </w:p>
        </w:tc>
        <w:tc>
          <w:tcPr>
            <w:tcW w:w="20" w:type="dxa"/>
            <w:vAlign w:val="bottom"/>
          </w:tcPr>
          <w:p>
            <w:pPr>
              <w:spacing w:after="0"/>
              <w:rPr>
                <w:sz w:val="14"/>
                <w:szCs w:val="14"/>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w w:val="92"/>
              </w:rPr>
              <w:t>Consolidated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w w:val="93"/>
              </w:rPr>
              <w:t>Propane and other gas liquids sales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1,608,858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1,684,343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1,684,392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Cost of sales - propane and other</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gas liquids sales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902,516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Cost of sales - 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Operating expense - personnel,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vehicle, plant and other</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469,652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80"/>
              <w:spacing w:after="0" w:line="201" w:lineRule="exact"/>
              <w:rPr>
                <w:sz w:val="20"/>
                <w:szCs w:val="20"/>
                <w:color w:val="auto"/>
              </w:rPr>
            </w:pPr>
            <w:r>
              <w:rPr>
                <w:rFonts w:ascii="Arial" w:cs="Arial" w:eastAsia="Arial" w:hAnsi="Arial"/>
                <w:sz w:val="18"/>
                <w:szCs w:val="18"/>
                <w:color w:val="auto"/>
              </w:rPr>
              <w:t>Operating expense - equipment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lease expense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w w:val="92"/>
              </w:rPr>
              <w:t>General and administrative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Non-cash employee stock</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ownership plan compensation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charge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w w:val="98"/>
              </w:rPr>
              <w:t>Loss on asset sales and disposals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Earnings (loss) before income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Equity in earnings (loss)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12,365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Net earnings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12,365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12,365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7" w:name="page198"/>
    <w:bookmarkEnd w:id="1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For the year ended July 31, 2018</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i w:val="1"/>
                <w:iCs w:val="1"/>
                <w:color w:val="auto"/>
                <w:w w:val="91"/>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b w:val="1"/>
                <w:bCs w:val="1"/>
                <w:i w:val="1"/>
                <w:iCs w:val="1"/>
                <w:color w:val="auto"/>
                <w:w w:val="92"/>
              </w:rPr>
              <w:t>Ferrellgas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1"/>
              <w:spacing w:after="0" w:line="149" w:lineRule="exact"/>
              <w:rPr>
                <w:sz w:val="20"/>
                <w:szCs w:val="20"/>
                <w:color w:val="auto"/>
              </w:rPr>
            </w:pPr>
            <w:r>
              <w:rPr>
                <w:rFonts w:ascii="Arial" w:cs="Arial" w:eastAsia="Arial" w:hAnsi="Arial"/>
                <w:sz w:val="14"/>
                <w:szCs w:val="14"/>
                <w:b w:val="1"/>
                <w:bCs w:val="1"/>
                <w:i w:val="1"/>
                <w:iCs w:val="1"/>
                <w:color w:val="auto"/>
                <w:w w:val="93"/>
              </w:rPr>
              <w:t>(Parent and</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Finance Corp.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1"/>
              <w:spacing w:after="0" w:line="149" w:lineRule="exact"/>
              <w:rPr>
                <w:sz w:val="20"/>
                <w:szCs w:val="20"/>
                <w:color w:val="auto"/>
              </w:rPr>
            </w:pPr>
            <w:r>
              <w:rPr>
                <w:rFonts w:ascii="Arial" w:cs="Arial" w:eastAsia="Arial" w:hAnsi="Arial"/>
                <w:sz w:val="14"/>
                <w:szCs w:val="14"/>
                <w:b w:val="1"/>
                <w:bCs w:val="1"/>
                <w:i w:val="1"/>
                <w:iCs w:val="1"/>
                <w:color w:val="auto"/>
                <w:w w:val="94"/>
              </w:rPr>
              <w:t>Guarantor</w:t>
            </w:r>
          </w:p>
        </w:tc>
        <w:tc>
          <w:tcPr>
            <w:tcW w:w="11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Non-Guarantor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i w:val="1"/>
                <w:iCs w:val="1"/>
                <w:color w:val="auto"/>
                <w:w w:val="92"/>
              </w:rPr>
              <w:t>Co-Issuer)</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i w:val="1"/>
                <w:iCs w:val="1"/>
                <w:color w:val="auto"/>
                <w:w w:val="91"/>
              </w:rPr>
              <w:t>(Co-Issuer)</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91"/>
              </w:rPr>
              <w:t>Subsidiaries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i w:val="1"/>
                <w:iCs w:val="1"/>
                <w:color w:val="auto"/>
                <w:w w:val="86"/>
              </w:rPr>
              <w:t>Subsidiaries</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w w:val="91"/>
              </w:rPr>
              <w:t>Eliminations</w:t>
            </w:r>
          </w:p>
        </w:tc>
        <w:tc>
          <w:tcPr>
            <w:tcW w:w="16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i w:val="1"/>
                <w:iCs w:val="1"/>
                <w:color w:val="auto"/>
                <w:w w:val="92"/>
              </w:rPr>
              <w:t>Consolidated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w w:val="90"/>
              </w:rPr>
              <w:t>Propane and other gas liquids sales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1,642,155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1,642,976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Midstream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1,715,109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2,073,142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80"/>
              <w:spacing w:after="0" w:line="201" w:lineRule="exact"/>
              <w:rPr>
                <w:sz w:val="20"/>
                <w:szCs w:val="20"/>
                <w:color w:val="auto"/>
              </w:rPr>
            </w:pPr>
            <w:r>
              <w:rPr>
                <w:rFonts w:ascii="Arial" w:cs="Arial" w:eastAsia="Arial" w:hAnsi="Arial"/>
                <w:sz w:val="18"/>
                <w:szCs w:val="18"/>
                <w:color w:val="auto"/>
                <w:w w:val="96"/>
              </w:rPr>
              <w:t>Cost of sales - propane and 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gas liquids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972,467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973,414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Cost of sales - midstream</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Cost of sales -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Operating expense - personnel,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vehicle, plant and other</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436,962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80"/>
              <w:spacing w:after="0" w:line="201" w:lineRule="exact"/>
              <w:rPr>
                <w:sz w:val="20"/>
                <w:szCs w:val="20"/>
                <w:color w:val="auto"/>
              </w:rPr>
            </w:pPr>
            <w:r>
              <w:rPr>
                <w:rFonts w:ascii="Arial" w:cs="Arial" w:eastAsia="Arial" w:hAnsi="Arial"/>
                <w:sz w:val="18"/>
                <w:szCs w:val="18"/>
                <w:color w:val="auto"/>
              </w:rPr>
              <w:t>Operating expense - equipment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lease 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27,939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80"/>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Non-cash employee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ownership plan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charge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Asset impairments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Loss on asset sales and disposals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(215,631)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rPr>
              <w:t>Earnings (loss) before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(257,716)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earnings (loss)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(256,337)</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256,337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(254,795)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(254,795)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256,337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8" w:name="page199"/>
    <w:bookmarkEnd w:id="1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For the year ended July 31,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4"/>
                <w:szCs w:val="14"/>
                <w:b w:val="1"/>
                <w:bCs w:val="1"/>
                <w:i w:val="1"/>
                <w:iCs w:val="1"/>
                <w:color w:val="auto"/>
                <w:w w:val="91"/>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56"/>
              <w:spacing w:after="0" w:line="123" w:lineRule="exact"/>
              <w:rPr>
                <w:sz w:val="20"/>
                <w:szCs w:val="20"/>
                <w:color w:val="auto"/>
              </w:rPr>
            </w:pPr>
            <w:r>
              <w:rPr>
                <w:rFonts w:ascii="Arial" w:cs="Arial" w:eastAsia="Arial" w:hAnsi="Arial"/>
                <w:sz w:val="14"/>
                <w:szCs w:val="14"/>
                <w:b w:val="1"/>
                <w:bCs w:val="1"/>
                <w:i w:val="1"/>
                <w:iCs w:val="1"/>
                <w:color w:val="auto"/>
                <w:w w:val="95"/>
              </w:rPr>
              <w:t>Ferrellgas</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6"/>
              <w:spacing w:after="0" w:line="149" w:lineRule="exact"/>
              <w:rPr>
                <w:sz w:val="20"/>
                <w:szCs w:val="20"/>
                <w:color w:val="auto"/>
              </w:rPr>
            </w:pPr>
            <w:r>
              <w:rPr>
                <w:rFonts w:ascii="Arial" w:cs="Arial" w:eastAsia="Arial" w:hAnsi="Arial"/>
                <w:sz w:val="14"/>
                <w:szCs w:val="14"/>
                <w:b w:val="1"/>
                <w:bCs w:val="1"/>
                <w:i w:val="1"/>
                <w:iCs w:val="1"/>
                <w:color w:val="auto"/>
                <w:w w:val="90"/>
              </w:rPr>
              <w:t>(Parent and</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w w:val="92"/>
              </w:rPr>
              <w:t>Finance Corp.</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Guarantor</w:t>
            </w:r>
          </w:p>
        </w:tc>
        <w:tc>
          <w:tcPr>
            <w:tcW w:w="10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i w:val="1"/>
                <w:iCs w:val="1"/>
                <w:color w:val="auto"/>
                <w:w w:val="92"/>
              </w:rPr>
              <w:t>Non-Guarantor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i w:val="1"/>
                <w:iCs w:val="1"/>
                <w:color w:val="auto"/>
                <w:w w:val="95"/>
              </w:rPr>
              <w:t>Co-Issuer)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i w:val="1"/>
                <w:iCs w:val="1"/>
                <w:color w:val="auto"/>
                <w:w w:val="91"/>
              </w:rPr>
              <w:t>(Co-Issuer)</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6"/>
              </w:rPr>
              <w:t>Subsidiaries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i w:val="1"/>
                <w:iCs w:val="1"/>
                <w:color w:val="auto"/>
                <w:w w:val="86"/>
              </w:rPr>
              <w:t>Subsidiaries</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Eliminations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0"/>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4"/>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Pr>
          <w:p>
            <w:pPr>
              <w:ind w:left="200"/>
              <w:spacing w:after="0" w:line="185" w:lineRule="exact"/>
              <w:rPr>
                <w:sz w:val="20"/>
                <w:szCs w:val="20"/>
                <w:color w:val="auto"/>
              </w:rPr>
            </w:pPr>
            <w:r>
              <w:rPr>
                <w:rFonts w:ascii="Arial" w:cs="Arial" w:eastAsia="Arial" w:hAnsi="Arial"/>
                <w:sz w:val="17"/>
                <w:szCs w:val="17"/>
                <w:color w:val="auto"/>
              </w:rPr>
              <w:t>Net cash provided by (used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75,882</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tcPr>
          <w:p>
            <w:pPr>
              <w:jc w:val="right"/>
              <w:ind w:right="88"/>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425</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(11,480)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63,510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128,331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b w:val="1"/>
                <w:bCs w:val="1"/>
                <w:color w:val="auto"/>
                <w:w w:val="94"/>
              </w:rPr>
              <w:t>Cash flows from investing activities: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Business acquisitions, net of cash</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acquired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Capital expenditures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(70,455)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sale of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Pr>
          <w:p>
            <w:pPr>
              <w:ind w:left="80"/>
              <w:spacing w:after="0" w:line="185" w:lineRule="exact"/>
              <w:rPr>
                <w:sz w:val="20"/>
                <w:szCs w:val="20"/>
                <w:color w:val="auto"/>
              </w:rPr>
            </w:pPr>
            <w:r>
              <w:rPr>
                <w:rFonts w:ascii="Arial" w:cs="Arial" w:eastAsia="Arial" w:hAnsi="Arial"/>
                <w:sz w:val="17"/>
                <w:szCs w:val="17"/>
                <w:color w:val="auto"/>
                <w:w w:val="93"/>
              </w:rPr>
              <w:t>Cash collected for purchase of interest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in accounts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841,142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(841,142)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7" w:lineRule="exact"/>
              <w:rPr>
                <w:sz w:val="20"/>
                <w:szCs w:val="20"/>
                <w:color w:val="auto"/>
              </w:rPr>
            </w:pPr>
            <w:r>
              <w:rPr>
                <w:rFonts w:ascii="Arial" w:cs="Arial" w:eastAsia="Arial" w:hAnsi="Arial"/>
                <w:sz w:val="17"/>
                <w:szCs w:val="17"/>
                <w:color w:val="auto"/>
              </w:rPr>
              <w:t>Cash remitted to Ferrellgas, L.P. for</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receivable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(777,632)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777,632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Intercompany loan to affiliate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(11,061)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w w:val="96"/>
              </w:rPr>
              <w:t>Cash payments to construct assets in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connection with future lease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transactions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Pr>
          <w:p>
            <w:pPr>
              <w:ind w:left="80"/>
              <w:spacing w:after="0" w:line="185" w:lineRule="exact"/>
              <w:rPr>
                <w:sz w:val="20"/>
                <w:szCs w:val="20"/>
                <w:color w:val="auto"/>
              </w:rPr>
            </w:pPr>
            <w:r>
              <w:rPr>
                <w:rFonts w:ascii="Arial" w:cs="Arial" w:eastAsia="Arial" w:hAnsi="Arial"/>
                <w:sz w:val="17"/>
                <w:szCs w:val="17"/>
                <w:color w:val="auto"/>
              </w:rPr>
              <w:t>Cash receipts in connection with</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leased vehicles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41,924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41,924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Borders>
              <w:top w:val="single" w:sz="8" w:color="CCEEFF"/>
            </w:tcBorders>
            <w:shd w:val="clear" w:color="auto" w:fill="CCEEFF"/>
          </w:tcPr>
          <w:p>
            <w:pPr>
              <w:ind w:left="200"/>
              <w:spacing w:after="0" w:line="167" w:lineRule="exact"/>
              <w:rPr>
                <w:sz w:val="20"/>
                <w:szCs w:val="20"/>
                <w:color w:val="auto"/>
              </w:rPr>
            </w:pPr>
            <w:r>
              <w:rPr>
                <w:rFonts w:ascii="Arial" w:cs="Arial" w:eastAsia="Arial" w:hAnsi="Arial"/>
                <w:sz w:val="17"/>
                <w:szCs w:val="17"/>
                <w:color w:val="auto"/>
              </w:rPr>
              <w:t>Net cash provided by (used in)</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investing activities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(82,357)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(71,296)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Cash flows from financing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Distributions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(15,654)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w w:val="99"/>
              </w:rPr>
              <w:t>Proceeds from increase in long-term</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debt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703,750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Payments on long-term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(285,857)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(285,857)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Net reductions to short-term</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borrowings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tcPr>
          <w:p>
            <w:pPr>
              <w:ind w:left="80"/>
              <w:spacing w:after="0" w:line="185" w:lineRule="exact"/>
              <w:rPr>
                <w:sz w:val="20"/>
                <w:szCs w:val="20"/>
                <w:color w:val="auto"/>
              </w:rPr>
            </w:pPr>
            <w:r>
              <w:rPr>
                <w:rFonts w:ascii="Arial" w:cs="Arial" w:eastAsia="Arial" w:hAnsi="Arial"/>
                <w:sz w:val="17"/>
                <w:szCs w:val="17"/>
                <w:color w:val="auto"/>
              </w:rPr>
              <w:t>Net reduction in collateralized short-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term borrowings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(62,000)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7" w:lineRule="exact"/>
              <w:rPr>
                <w:sz w:val="20"/>
                <w:szCs w:val="20"/>
                <w:color w:val="auto"/>
              </w:rPr>
            </w:pPr>
            <w:r>
              <w:rPr>
                <w:rFonts w:ascii="Arial" w:cs="Arial" w:eastAsia="Arial" w:hAnsi="Arial"/>
                <w:sz w:val="17"/>
                <w:szCs w:val="17"/>
                <w:color w:val="auto"/>
              </w:rPr>
              <w:t>Net changes in advances with</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consolidated entities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7"/>
                <w:szCs w:val="17"/>
                <w:color w:val="auto"/>
              </w:rPr>
              <w:t>Cash paid for financing costs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(29,449)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w w:val="94"/>
              </w:rPr>
              <w:t>Cash payments for principal portion of</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finance lease liability</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tcPr>
          <w:p>
            <w:pPr>
              <w:ind w:left="200"/>
              <w:spacing w:after="0" w:line="165" w:lineRule="exact"/>
              <w:rPr>
                <w:sz w:val="20"/>
                <w:szCs w:val="20"/>
                <w:color w:val="auto"/>
              </w:rPr>
            </w:pPr>
            <w:r>
              <w:rPr>
                <w:rFonts w:ascii="Arial" w:cs="Arial" w:eastAsia="Arial" w:hAnsi="Arial"/>
                <w:sz w:val="17"/>
                <w:szCs w:val="17"/>
                <w:color w:val="auto"/>
              </w:rPr>
              <w:t>Net cash provided by (used in)</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financing activities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327,674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7"/>
                <w:szCs w:val="17"/>
                <w:color w:val="auto"/>
                <w:w w:val="90"/>
              </w:rPr>
              <w:t>Net change in cash and cash equivalents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321,199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322,709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5"/>
              </w:rPr>
              <w:t>Cash and cash equivalents - beginning</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of year</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11,045</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tcPr>
          <w:p>
            <w:pPr>
              <w:spacing w:after="0" w:line="161" w:lineRule="exact"/>
              <w:rPr>
                <w:sz w:val="20"/>
                <w:szCs w:val="20"/>
                <w:color w:val="auto"/>
              </w:rPr>
            </w:pPr>
            <w:r>
              <w:rPr>
                <w:rFonts w:ascii="Arial" w:cs="Arial" w:eastAsia="Arial" w:hAnsi="Arial"/>
                <w:sz w:val="17"/>
                <w:szCs w:val="17"/>
                <w:b w:val="1"/>
                <w:bCs w:val="1"/>
                <w:color w:val="auto"/>
                <w:w w:val="91"/>
              </w:rPr>
              <w:t>Cash, cash equivalents and restricted</w:t>
            </w:r>
          </w:p>
        </w:tc>
        <w:tc>
          <w:tcPr>
            <w:tcW w:w="180" w:type="dxa"/>
            <w:vAlign w:val="bottom"/>
            <w:gridSpan w:val="2"/>
            <w:vMerge w:val="restart"/>
          </w:tcPr>
          <w:p>
            <w:pPr>
              <w:ind w:left="80"/>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332,244</w:t>
            </w:r>
          </w:p>
        </w:tc>
        <w:tc>
          <w:tcPr>
            <w:tcW w:w="240" w:type="dxa"/>
            <w:vAlign w:val="bottom"/>
            <w:gridSpan w:val="2"/>
            <w:vMerge w:val="restart"/>
          </w:tcPr>
          <w:p>
            <w:pPr>
              <w:ind w:left="140"/>
              <w:spacing w:after="0"/>
              <w:rPr>
                <w:sz w:val="20"/>
                <w:szCs w:val="20"/>
                <w:color w:val="auto"/>
              </w:rPr>
            </w:pPr>
            <w:r>
              <w:rPr>
                <w:rFonts w:ascii="Arial" w:cs="Arial" w:eastAsia="Arial" w:hAnsi="Arial"/>
                <w:sz w:val="17"/>
                <w:szCs w:val="17"/>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400" w:type="dxa"/>
            <w:vAlign w:val="bottom"/>
            <w:gridSpan w:val="2"/>
            <w:vMerge w:val="restart"/>
          </w:tcPr>
          <w:p>
            <w:pPr>
              <w:jc w:val="right"/>
              <w:ind w:right="88"/>
              <w:spacing w:after="0"/>
              <w:rPr>
                <w:sz w:val="20"/>
                <w:szCs w:val="20"/>
                <w:color w:val="auto"/>
              </w:rPr>
            </w:pPr>
            <w:r>
              <w:rPr>
                <w:rFonts w:ascii="Arial" w:cs="Arial" w:eastAsia="Arial" w:hAnsi="Arial"/>
                <w:sz w:val="17"/>
                <w:szCs w:val="17"/>
                <w:color w:val="auto"/>
              </w:rPr>
              <w:t>$</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1,510</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333,755</w:t>
            </w:r>
          </w:p>
        </w:tc>
        <w:tc>
          <w:tcPr>
            <w:tcW w:w="0" w:type="dxa"/>
            <w:vAlign w:val="bottom"/>
          </w:tcPr>
          <w:p>
            <w:pPr>
              <w:spacing w:after="0"/>
              <w:rPr>
                <w:sz w:val="1"/>
                <w:szCs w:val="1"/>
                <w:color w:val="auto"/>
              </w:rPr>
            </w:pPr>
          </w:p>
        </w:tc>
      </w:tr>
      <w:tr>
        <w:trPr>
          <w:trHeight w:val="211"/>
        </w:trPr>
        <w:tc>
          <w:tcPr>
            <w:tcW w:w="2840" w:type="dxa"/>
            <w:vAlign w:val="bottom"/>
            <w:gridSpan w:val="2"/>
          </w:tcPr>
          <w:p>
            <w:pPr>
              <w:spacing w:after="0"/>
              <w:rPr>
                <w:sz w:val="20"/>
                <w:szCs w:val="20"/>
                <w:color w:val="auto"/>
              </w:rPr>
            </w:pPr>
            <w:r>
              <w:rPr>
                <w:rFonts w:ascii="Arial" w:cs="Arial" w:eastAsia="Arial" w:hAnsi="Arial"/>
                <w:sz w:val="17"/>
                <w:szCs w:val="17"/>
                <w:b w:val="1"/>
                <w:bCs w:val="1"/>
                <w:color w:val="auto"/>
              </w:rPr>
              <w:t>cash - end of year</w:t>
            </w:r>
          </w:p>
        </w:tc>
        <w:tc>
          <w:tcPr>
            <w:tcW w:w="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9" w:name="page200"/>
    <w:bookmarkEnd w:id="1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3"/>
              </w:rPr>
              <w:t>For the year ended July 31, 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4"/>
                <w:szCs w:val="14"/>
                <w:b w:val="1"/>
                <w:bCs w:val="1"/>
                <w:i w:val="1"/>
                <w:iCs w:val="1"/>
                <w:color w:val="auto"/>
                <w:w w:val="89"/>
              </w:rPr>
              <w:t>Ferrellgas, L.P.</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2"/>
              <w:spacing w:after="0" w:line="123" w:lineRule="exact"/>
              <w:rPr>
                <w:sz w:val="20"/>
                <w:szCs w:val="20"/>
                <w:color w:val="auto"/>
              </w:rPr>
            </w:pPr>
            <w:r>
              <w:rPr>
                <w:rFonts w:ascii="Arial" w:cs="Arial" w:eastAsia="Arial" w:hAnsi="Arial"/>
                <w:sz w:val="14"/>
                <w:szCs w:val="14"/>
                <w:b w:val="1"/>
                <w:bCs w:val="1"/>
                <w:i w:val="1"/>
                <w:iCs w:val="1"/>
                <w:color w:val="auto"/>
                <w:w w:val="92"/>
              </w:rPr>
              <w:t>Ferrellgas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i w:val="1"/>
                <w:iCs w:val="1"/>
                <w:color w:val="auto"/>
                <w:w w:val="90"/>
              </w:rPr>
              <w:t>(Parent and</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w w:val="89"/>
              </w:rPr>
              <w:t>Finance Corp.</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97"/>
              </w:rPr>
              <w:t>Guarantor</w:t>
            </w:r>
          </w:p>
        </w:tc>
        <w:tc>
          <w:tcPr>
            <w:tcW w:w="14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4"/>
              </w:rPr>
              <w:t>Non-Guarantor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i w:val="1"/>
                <w:iCs w:val="1"/>
                <w:color w:val="auto"/>
                <w:w w:val="95"/>
              </w:rPr>
              <w:t>Co-Issuer)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i w:val="1"/>
                <w:iCs w:val="1"/>
                <w:color w:val="auto"/>
                <w:w w:val="89"/>
              </w:rPr>
              <w:t>(Co-Issuer)</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6"/>
              </w:rPr>
              <w:t>Subsidiaries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6"/>
              </w:rPr>
              <w:t>Subsidiaries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Eliminations</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0"/>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Cash flows from operating</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w w:val="97"/>
              </w:rPr>
              <w:t>Net cash provided by (used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25,796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45,962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00" w:type="dxa"/>
            <w:vAlign w:val="bottom"/>
          </w:tcPr>
          <w:p>
            <w:pPr>
              <w:spacing w:after="0" w:line="198" w:lineRule="exact"/>
              <w:rPr>
                <w:sz w:val="20"/>
                <w:szCs w:val="20"/>
                <w:color w:val="auto"/>
              </w:rPr>
            </w:pPr>
            <w:r>
              <w:rPr>
                <w:rFonts w:ascii="Arial" w:cs="Arial" w:eastAsia="Arial" w:hAnsi="Arial"/>
                <w:sz w:val="18"/>
                <w:szCs w:val="18"/>
                <w:b w:val="1"/>
                <w:bCs w:val="1"/>
                <w:color w:val="auto"/>
              </w:rPr>
              <w:t>Cash flows from investing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Business acquisitions, net of cash</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acquired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Cash collected for purchase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interest in accounts receivable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1,258,050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(1,258,050)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Cash remitted to Ferrellgas, L.P.</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 accounts receivable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(1,262,050)</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Net changes in advances with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consolidated entities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Intercompany loan to affiliate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80"/>
              <w:spacing w:after="0" w:line="201" w:lineRule="exact"/>
              <w:rPr>
                <w:sz w:val="20"/>
                <w:szCs w:val="20"/>
                <w:color w:val="auto"/>
              </w:rPr>
            </w:pPr>
            <w:r>
              <w:rPr>
                <w:rFonts w:ascii="Arial" w:cs="Arial" w:eastAsia="Arial" w:hAnsi="Arial"/>
                <w:sz w:val="18"/>
                <w:szCs w:val="18"/>
                <w:color w:val="auto"/>
                <w:w w:val="92"/>
              </w:rPr>
              <w:t>Cash payment to construct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in connection with future lease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Cash receipts in connection with</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vehicles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Borders>
              <w:top w:val="single" w:sz="8" w:color="CCEEFF"/>
            </w:tcBorders>
            <w:shd w:val="clear" w:color="auto" w:fill="CCEEFF"/>
          </w:tcPr>
          <w:p>
            <w:pPr>
              <w:ind w:left="200"/>
              <w:spacing w:after="0" w:line="182" w:lineRule="exact"/>
              <w:rPr>
                <w:sz w:val="20"/>
                <w:szCs w:val="20"/>
                <w:color w:val="auto"/>
              </w:rPr>
            </w:pPr>
            <w:r>
              <w:rPr>
                <w:rFonts w:ascii="Arial" w:cs="Arial" w:eastAsia="Arial" w:hAnsi="Arial"/>
                <w:sz w:val="18"/>
                <w:szCs w:val="18"/>
                <w:color w:val="auto"/>
                <w:w w:val="97"/>
              </w:rPr>
              <w:t>Net cash provided by (used in)</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(124,327)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flows from financing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Net additions in short-term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Net additions to collateralized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Net changes in advances with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consolidated entries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(25,063)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financing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ind w:left="200"/>
              <w:spacing w:after="0" w:line="182" w:lineRule="exact"/>
              <w:rPr>
                <w:sz w:val="20"/>
                <w:szCs w:val="20"/>
                <w:color w:val="auto"/>
              </w:rPr>
            </w:pPr>
            <w:r>
              <w:rPr>
                <w:rFonts w:ascii="Arial" w:cs="Arial" w:eastAsia="Arial" w:hAnsi="Arial"/>
                <w:sz w:val="18"/>
                <w:szCs w:val="18"/>
                <w:color w:val="auto"/>
                <w:w w:val="97"/>
              </w:rPr>
              <w:t>Net cash provided by (used in)</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(25,063)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Net change in cash and cash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(108,262)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line="177" w:lineRule="exact"/>
              <w:rPr>
                <w:sz w:val="20"/>
                <w:szCs w:val="20"/>
                <w:color w:val="auto"/>
              </w:rPr>
            </w:pPr>
            <w:r>
              <w:rPr>
                <w:rFonts w:ascii="Arial" w:cs="Arial" w:eastAsia="Arial" w:hAnsi="Arial"/>
                <w:sz w:val="18"/>
                <w:szCs w:val="18"/>
                <w:b w:val="1"/>
                <w:bCs w:val="1"/>
                <w:color w:val="auto"/>
                <w:w w:val="92"/>
              </w:rPr>
              <w:t>Cash and cash equivalents - end</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11,045</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21"/>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of year</w:t>
            </w:r>
          </w:p>
        </w:tc>
        <w:tc>
          <w:tcPr>
            <w:tcW w:w="2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0" w:name="page201"/>
    <w:bookmarkEnd w:id="2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FERRELLGAS, L.P. AND SUBSIDIARIES</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3"/>
              </w:rPr>
              <w:t>For the year ended July 31,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i w:val="1"/>
                <w:iCs w:val="1"/>
                <w:color w:val="auto"/>
                <w:w w:val="92"/>
              </w:rPr>
              <w:t>Ferrellgas, L.P.</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6"/>
              <w:spacing w:after="0" w:line="131" w:lineRule="exact"/>
              <w:rPr>
                <w:sz w:val="20"/>
                <w:szCs w:val="20"/>
                <w:color w:val="auto"/>
              </w:rPr>
            </w:pPr>
            <w:r>
              <w:rPr>
                <w:rFonts w:ascii="Arial" w:cs="Arial" w:eastAsia="Arial" w:hAnsi="Arial"/>
                <w:sz w:val="13"/>
                <w:szCs w:val="13"/>
                <w:b w:val="1"/>
                <w:bCs w:val="1"/>
                <w:i w:val="1"/>
                <w:iCs w:val="1"/>
                <w:color w:val="auto"/>
                <w:w w:val="96"/>
              </w:rPr>
              <w:t>Ferrellgas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6"/>
              <w:spacing w:after="0"/>
              <w:rPr>
                <w:sz w:val="20"/>
                <w:szCs w:val="20"/>
                <w:color w:val="auto"/>
              </w:rPr>
            </w:pPr>
            <w:r>
              <w:rPr>
                <w:rFonts w:ascii="Arial" w:cs="Arial" w:eastAsia="Arial" w:hAnsi="Arial"/>
                <w:sz w:val="13"/>
                <w:szCs w:val="13"/>
                <w:b w:val="1"/>
                <w:bCs w:val="1"/>
                <w:i w:val="1"/>
                <w:iCs w:val="1"/>
                <w:color w:val="auto"/>
                <w:w w:val="92"/>
              </w:rPr>
              <w:t>(Parent and</w:t>
            </w:r>
          </w:p>
        </w:tc>
        <w:tc>
          <w:tcPr>
            <w:tcW w:w="940" w:type="dxa"/>
            <w:vAlign w:val="bottom"/>
            <w:gridSpan w:val="3"/>
          </w:tcPr>
          <w:p>
            <w:pPr>
              <w:ind w:left="120"/>
              <w:spacing w:after="0"/>
              <w:rPr>
                <w:sz w:val="20"/>
                <w:szCs w:val="20"/>
                <w:color w:val="auto"/>
              </w:rPr>
            </w:pPr>
            <w:r>
              <w:rPr>
                <w:rFonts w:ascii="Arial" w:cs="Arial" w:eastAsia="Arial" w:hAnsi="Arial"/>
                <w:sz w:val="13"/>
                <w:szCs w:val="13"/>
                <w:b w:val="1"/>
                <w:bCs w:val="1"/>
                <w:i w:val="1"/>
                <w:iCs w:val="1"/>
                <w:color w:val="auto"/>
                <w:w w:val="92"/>
              </w:rPr>
              <w:t>Finance Corp.</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Guarantor</w:t>
            </w:r>
          </w:p>
        </w:tc>
        <w:tc>
          <w:tcPr>
            <w:tcW w:w="14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i w:val="1"/>
                <w:iCs w:val="1"/>
                <w:color w:val="auto"/>
                <w:w w:val="95"/>
              </w:rPr>
              <w:t>Non-Guarantor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36"/>
              <w:spacing w:after="0"/>
              <w:rPr>
                <w:sz w:val="20"/>
                <w:szCs w:val="20"/>
                <w:color w:val="auto"/>
              </w:rPr>
            </w:pPr>
            <w:r>
              <w:rPr>
                <w:rFonts w:ascii="Arial" w:cs="Arial" w:eastAsia="Arial" w:hAnsi="Arial"/>
                <w:sz w:val="13"/>
                <w:szCs w:val="13"/>
                <w:b w:val="1"/>
                <w:bCs w:val="1"/>
                <w:i w:val="1"/>
                <w:iCs w:val="1"/>
                <w:color w:val="auto"/>
                <w:w w:val="93"/>
              </w:rPr>
              <w:t>Co-Issuer)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b w:val="1"/>
                <w:bCs w:val="1"/>
                <w:i w:val="1"/>
                <w:iCs w:val="1"/>
                <w:color w:val="auto"/>
                <w:w w:val="90"/>
              </w:rPr>
              <w:t>(Co-Issuer)</w:t>
            </w: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w w:val="87"/>
              </w:rPr>
              <w:t>Subsidiaries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i w:val="1"/>
                <w:iCs w:val="1"/>
                <w:color w:val="auto"/>
                <w:w w:val="87"/>
              </w:rPr>
              <w:t>Subsidiaries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b w:val="1"/>
                <w:bCs w:val="1"/>
                <w:i w:val="1"/>
                <w:iCs w:val="1"/>
                <w:color w:val="auto"/>
                <w:w w:val="93"/>
              </w:rPr>
              <w:t>Eliminations</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w w:val="89"/>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8"/>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ind w:left="200"/>
              <w:spacing w:after="0" w:line="185" w:lineRule="exact"/>
              <w:rPr>
                <w:sz w:val="20"/>
                <w:szCs w:val="20"/>
                <w:color w:val="auto"/>
              </w:rPr>
            </w:pPr>
            <w:r>
              <w:rPr>
                <w:rFonts w:ascii="Arial" w:cs="Arial" w:eastAsia="Arial" w:hAnsi="Arial"/>
                <w:sz w:val="17"/>
                <w:szCs w:val="17"/>
                <w:color w:val="auto"/>
              </w:rPr>
              <w:t>Net cash provided by (used 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139,294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(48,708)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3,573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105,154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b w:val="1"/>
                <w:bCs w:val="1"/>
                <w:color w:val="auto"/>
                <w:w w:val="99"/>
              </w:rPr>
              <w:t>Cash flows from investing activities: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Business acquisitions, net of cash</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acquired</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Capital expenditures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(81,114)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sale of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145,260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ind w:left="80"/>
              <w:spacing w:after="0" w:line="185" w:lineRule="exact"/>
              <w:rPr>
                <w:sz w:val="20"/>
                <w:szCs w:val="20"/>
                <w:color w:val="auto"/>
              </w:rPr>
            </w:pPr>
            <w:r>
              <w:rPr>
                <w:rFonts w:ascii="Arial" w:cs="Arial" w:eastAsia="Arial" w:hAnsi="Arial"/>
                <w:sz w:val="17"/>
                <w:szCs w:val="17"/>
                <w:color w:val="auto"/>
                <w:w w:val="92"/>
              </w:rPr>
              <w:t>Cash collected for purchase of interest 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accounts receivable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1,226,211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(1,226,211)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shd w:val="clear" w:color="auto" w:fill="CCEEFF"/>
          </w:tcPr>
          <w:p>
            <w:pPr>
              <w:ind w:left="80"/>
              <w:spacing w:after="0" w:line="187" w:lineRule="exact"/>
              <w:rPr>
                <w:sz w:val="20"/>
                <w:szCs w:val="20"/>
                <w:color w:val="auto"/>
              </w:rPr>
            </w:pPr>
            <w:r>
              <w:rPr>
                <w:rFonts w:ascii="Arial" w:cs="Arial" w:eastAsia="Arial" w:hAnsi="Arial"/>
                <w:sz w:val="17"/>
                <w:szCs w:val="17"/>
                <w:color w:val="auto"/>
              </w:rPr>
              <w:t>Cash remitted to Ferrellgas, L.P for</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receivable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(1,215,211)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1,215,211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ind w:left="80"/>
              <w:spacing w:after="0" w:line="185" w:lineRule="exact"/>
              <w:rPr>
                <w:sz w:val="20"/>
                <w:szCs w:val="20"/>
                <w:color w:val="auto"/>
              </w:rPr>
            </w:pPr>
            <w:r>
              <w:rPr>
                <w:rFonts w:ascii="Arial" w:cs="Arial" w:eastAsia="Arial" w:hAnsi="Arial"/>
                <w:sz w:val="17"/>
                <w:szCs w:val="17"/>
                <w:color w:val="auto"/>
              </w:rPr>
              <w:t>Net changes in advances with</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consolidated entities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shd w:val="clear" w:color="auto" w:fill="CCEEFF"/>
          </w:tcPr>
          <w:p>
            <w:pPr>
              <w:ind w:left="200"/>
              <w:spacing w:after="0" w:line="187" w:lineRule="exact"/>
              <w:rPr>
                <w:sz w:val="20"/>
                <w:szCs w:val="20"/>
                <w:color w:val="auto"/>
              </w:rPr>
            </w:pPr>
            <w:r>
              <w:rPr>
                <w:rFonts w:ascii="Arial" w:cs="Arial" w:eastAsia="Arial" w:hAnsi="Arial"/>
                <w:sz w:val="17"/>
                <w:szCs w:val="17"/>
                <w:color w:val="auto"/>
              </w:rPr>
              <w:t>Net cash provided by (used in)</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investing activities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4,586</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141,455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(107,514)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9"/>
              </w:rPr>
              <w:t>Cash flows from financing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Distributions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(70,962)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(70,962)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Proceeds from increase of long-term</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debt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323,680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Payments on long-term debt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(212,920)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(212,920)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5"/>
              </w:rPr>
              <w:t>Net reductions to short-term borrowings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ind w:left="80"/>
              <w:spacing w:after="0" w:line="185" w:lineRule="exact"/>
              <w:rPr>
                <w:sz w:val="20"/>
                <w:szCs w:val="20"/>
                <w:color w:val="auto"/>
              </w:rPr>
            </w:pPr>
            <w:r>
              <w:rPr>
                <w:rFonts w:ascii="Arial" w:cs="Arial" w:eastAsia="Arial" w:hAnsi="Arial"/>
                <w:sz w:val="17"/>
                <w:szCs w:val="17"/>
                <w:color w:val="auto"/>
              </w:rPr>
              <w:t>Net additions in collateralized short-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term borrowings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changes in advances with parent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(92,946)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80"/>
              <w:spacing w:after="0"/>
              <w:rPr>
                <w:sz w:val="20"/>
                <w:szCs w:val="20"/>
                <w:color w:val="auto"/>
              </w:rPr>
            </w:pPr>
            <w:r>
              <w:rPr>
                <w:rFonts w:ascii="Arial" w:cs="Arial" w:eastAsia="Arial" w:hAnsi="Arial"/>
                <w:sz w:val="17"/>
                <w:szCs w:val="17"/>
                <w:color w:val="auto"/>
              </w:rPr>
              <w:t>Cash paid for financing costs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Borders>
              <w:top w:val="single" w:sz="8" w:color="CCEEFF"/>
            </w:tcBorders>
            <w:shd w:val="clear" w:color="auto" w:fill="CCEEFF"/>
          </w:tcPr>
          <w:p>
            <w:pPr>
              <w:ind w:left="200"/>
              <w:spacing w:after="0" w:line="165" w:lineRule="exact"/>
              <w:rPr>
                <w:sz w:val="20"/>
                <w:szCs w:val="20"/>
                <w:color w:val="auto"/>
              </w:rPr>
            </w:pPr>
            <w:r>
              <w:rPr>
                <w:rFonts w:ascii="Arial" w:cs="Arial" w:eastAsia="Arial" w:hAnsi="Arial"/>
                <w:sz w:val="17"/>
                <w:szCs w:val="17"/>
                <w:color w:val="auto"/>
              </w:rPr>
              <w:t>Net cash provided by (used in)</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 activities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(30,074)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(92,946)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(14,573)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96,514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w w:val="94"/>
              </w:rPr>
              <w:t>Net change in cash and cash equivalents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113,607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4"/>
              </w:rPr>
              <w:t>Cash and cash equivalents - beginning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80" w:type="dxa"/>
            <w:vAlign w:val="bottom"/>
            <w:gridSpan w:val="2"/>
          </w:tcPr>
          <w:p>
            <w:pPr>
              <w:spacing w:after="0"/>
              <w:rPr>
                <w:sz w:val="20"/>
                <w:szCs w:val="20"/>
                <w:color w:val="auto"/>
              </w:rPr>
            </w:pPr>
            <w:r>
              <w:rPr>
                <w:rFonts w:ascii="Arial" w:cs="Arial" w:eastAsia="Arial" w:hAnsi="Arial"/>
                <w:sz w:val="17"/>
                <w:szCs w:val="17"/>
                <w:color w:val="auto"/>
              </w:rPr>
              <w:t>year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0"/>
              </w:rPr>
              <w:t>Cash and cash equivalents - end of year</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60" w:right="399" w:firstLine="648"/>
        <w:spacing w:after="0" w:line="286" w:lineRule="auto"/>
        <w:rPr>
          <w:sz w:val="20"/>
          <w:szCs w:val="20"/>
          <w:color w:val="auto"/>
        </w:rPr>
      </w:pPr>
      <w:r>
        <w:rPr>
          <w:rFonts w:ascii="Arial" w:cs="Arial" w:eastAsia="Arial" w:hAnsi="Arial"/>
          <w:sz w:val="17"/>
          <w:szCs w:val="17"/>
          <w:color w:val="auto"/>
        </w:rPr>
        <w:t>Ferrellgas, L.P. has evaluated events and transactions occurring after the balance sheet date through the date Ferrellgas, L.P.’s consolidated financial statements were issued and concluded that there were no events or transactions occurring during this period that required recognition or disclosure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1" w:name="page202"/>
    <w:bookmarkEnd w:id="2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Ferrellgas Finance Corp.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5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We have audited the accompanying balance sheets of Ferrellgas Finance Corp. (a Delaware corporation) (the “Company”) as of July 31, 2020 and 2019, and the related statements of operations, stockholder’s equity, and cash flows for each of the three years in the period ended July 31, 2020, the related notes (collectively referred to as the “financial statements”). In our opinion, the financial statements present fairly, in all material respects, the financial position of the Company as of July 31, 2020 and 2019, and the results of its operations and its cash flows for each of the three years in the period ended July 31, 2020, in conformity with accounting principles generally accepted in the United States of America.</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7"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A of the financial statements, as of July 31, 2020, the Company’s parent company, Ferrellgas, L.P. has $500.0 million in unsecured notes due May 1, 2021 that are classified as current in the consolidated financial statements of Ferrellgas, L.P. Ferrellgas, L.P.’s current liabilities exceeded its current assets by $169.8 million and its total liabilities exceeded its total assets by $832.0 million. The Company serves as co-issuer and co-obligor for the debt securities of Ferrellgas, L.P. The Company does not have sufficient cash reserves or the ability to generate sufficient future cash flows to satisfy its obligations as co-obligor of the debt securities of Ferrellgas, L.P. The Company’s business plan, which is also described in Note A, contemplates restructuring or refinancing its long-term arrangements and reducing outstanding indebtedness. The Company’s ability to achieve the foregoing elements of its business plan, which may be necessary to permit the realization of assets and satisfaction of liabilities in the ordinary course of business, is uncertain and raises substantial doubt about its ability to continue as a going concern. The financial statements do not include any adjustments that might result from the outcome of this uncertainty.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4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15,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2" w:name="page203"/>
    <w:bookmarkEnd w:id="2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FERRELLGAS FINANCE CORP.</w:t>
      </w:r>
    </w:p>
    <w:p>
      <w:pPr>
        <w:spacing w:after="0" w:line="3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 wholly-owned subsidiary of Ferrellgas,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2020</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July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Contingencies and commitments (Note 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Common stock, $1.00 par value; 2,000 shares authorized; 1,000 shares issued and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outstanding</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Arial" w:cs="Arial" w:eastAsia="Arial" w:hAnsi="Arial"/>
                <w:sz w:val="18"/>
                <w:szCs w:val="18"/>
                <w:color w:val="auto"/>
              </w:rPr>
              <w:t>Additional paid in 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3" w:name="page204"/>
    <w:bookmarkEnd w:id="2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FERRELLGAS FINANCE CORP.</w:t>
      </w:r>
    </w:p>
    <w:p>
      <w:pPr>
        <w:spacing w:after="0" w:line="3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 wholly-owned subsidiary of Ferrellgas,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6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09"/>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9"/>
              </w:rPr>
              <w:t>General and administrative expense</w:t>
            </w:r>
          </w:p>
        </w:tc>
        <w:tc>
          <w:tcPr>
            <w:tcW w:w="3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r>
      <w:tr>
        <w:trPr>
          <w:trHeight w:val="216"/>
        </w:trPr>
        <w:tc>
          <w:tcPr>
            <w:tcW w:w="292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80" w:type="dxa"/>
            <w:vAlign w:val="bottom"/>
            <w:gridSpan w:val="2"/>
          </w:tcPr>
          <w:p>
            <w:pPr>
              <w:jc w:val="right"/>
              <w:ind w:right="467"/>
              <w:spacing w:after="0"/>
              <w:rPr>
                <w:sz w:val="20"/>
                <w:szCs w:val="20"/>
                <w:color w:val="auto"/>
              </w:rPr>
            </w:pPr>
            <w:r>
              <w:rPr>
                <w:rFonts w:ascii="Arial" w:cs="Arial" w:eastAsia="Arial" w:hAnsi="Arial"/>
                <w:sz w:val="18"/>
                <w:szCs w:val="18"/>
                <w:color w:val="auto"/>
              </w:rPr>
              <w:t>See notes to financial statements.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6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80" w:type="dxa"/>
            <w:vAlign w:val="bottom"/>
            <w:gridSpan w:val="2"/>
          </w:tcPr>
          <w:p>
            <w:pPr>
              <w:jc w:val="right"/>
              <w:ind w:right="1487"/>
              <w:spacing w:after="0"/>
              <w:rPr>
                <w:sz w:val="20"/>
                <w:szCs w:val="20"/>
                <w:color w:val="auto"/>
              </w:rPr>
            </w:pPr>
            <w:r>
              <w:rPr>
                <w:rFonts w:ascii="Arial" w:cs="Arial" w:eastAsia="Arial" w:hAnsi="Arial"/>
                <w:sz w:val="18"/>
                <w:szCs w:val="18"/>
                <w:color w:val="auto"/>
              </w:rPr>
              <w:t>F-96</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04" w:name="page205"/>
    <w:bookmarkEnd w:id="2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FERRELLGAS FINANCE CORP.</w:t>
      </w:r>
    </w:p>
    <w:p>
      <w:pPr>
        <w:spacing w:after="0" w:line="3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 wholly-owned subsidiary of Ferrellgas,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Dollars</w:t>
            </w:r>
          </w:p>
        </w:tc>
        <w:tc>
          <w:tcPr>
            <w:tcW w:w="160" w:type="dxa"/>
            <w:vAlign w:val="bottom"/>
          </w:tcPr>
          <w:p>
            <w:pPr>
              <w:spacing w:after="0"/>
              <w:rPr>
                <w:sz w:val="12"/>
                <w:szCs w:val="12"/>
                <w:color w:val="auto"/>
              </w:rPr>
            </w:pPr>
          </w:p>
        </w:tc>
        <w:tc>
          <w:tcPr>
            <w:tcW w:w="6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paid in</w:t>
            </w:r>
          </w:p>
        </w:tc>
        <w:tc>
          <w:tcPr>
            <w:tcW w:w="1120" w:type="dxa"/>
            <w:vAlign w:val="bottom"/>
            <w:gridSpan w:val="4"/>
            <w:vMerge w:val="continue"/>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9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25"/>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2017</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$ 67,336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(65,736)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Capital contribution</w:t>
            </w:r>
          </w:p>
        </w:tc>
        <w:tc>
          <w:tcPr>
            <w:tcW w:w="1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425"/>
        </w:trPr>
        <w:tc>
          <w:tcPr>
            <w:tcW w:w="2940" w:type="dxa"/>
            <w:vAlign w:val="bottom"/>
          </w:tcPr>
          <w:p>
            <w:pPr>
              <w:spacing w:after="0"/>
              <w:rPr>
                <w:sz w:val="20"/>
                <w:szCs w:val="20"/>
                <w:color w:val="auto"/>
              </w:rPr>
            </w:pPr>
            <w:r>
              <w:rPr>
                <w:rFonts w:ascii="Arial" w:cs="Arial" w:eastAsia="Arial" w:hAnsi="Arial"/>
                <w:sz w:val="18"/>
                <w:szCs w:val="18"/>
                <w:b w:val="1"/>
                <w:bCs w:val="1"/>
                <w:color w:val="auto"/>
              </w:rPr>
              <w:t>July 31, 2018</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72,552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(70,952)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w:t>
            </w:r>
          </w:p>
        </w:tc>
        <w:tc>
          <w:tcPr>
            <w:tcW w:w="1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425"/>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2019</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78,518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(76,577)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Capital contribution</w:t>
            </w:r>
          </w:p>
        </w:tc>
        <w:tc>
          <w:tcPr>
            <w:tcW w:w="1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425"/>
        </w:trPr>
        <w:tc>
          <w:tcPr>
            <w:tcW w:w="2940" w:type="dxa"/>
            <w:vAlign w:val="bottom"/>
          </w:tcPr>
          <w:p>
            <w:pPr>
              <w:spacing w:after="0"/>
              <w:rPr>
                <w:sz w:val="20"/>
                <w:szCs w:val="20"/>
                <w:color w:val="auto"/>
              </w:rPr>
            </w:pPr>
            <w:r>
              <w:rPr>
                <w:rFonts w:ascii="Arial" w:cs="Arial" w:eastAsia="Arial" w:hAnsi="Arial"/>
                <w:sz w:val="18"/>
                <w:szCs w:val="18"/>
                <w:b w:val="1"/>
                <w:bCs w:val="1"/>
                <w:color w:val="auto"/>
              </w:rPr>
              <w:t>July 31, 2020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$ 84,187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(82,587)</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5" w:name="page206"/>
    <w:bookmarkEnd w:id="2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FERRELLGAS FINANCE CORP.</w:t>
      </w:r>
    </w:p>
    <w:p>
      <w:pPr>
        <w:spacing w:after="0" w:line="3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 wholly-owned subsidiary of Ferrellgas,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July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(6,010)</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(5,625)</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in operating activities</w:t>
            </w:r>
          </w:p>
        </w:tc>
        <w:tc>
          <w:tcPr>
            <w:tcW w:w="1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Capital contribution</w:t>
            </w:r>
          </w:p>
        </w:tc>
        <w:tc>
          <w:tcPr>
            <w:tcW w:w="1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provided by financing activities</w:t>
            </w:r>
          </w:p>
        </w:tc>
        <w:tc>
          <w:tcPr>
            <w:tcW w:w="1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1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6" w:name="page207"/>
    <w:bookmarkEnd w:id="2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wholly-owned subsidiary of Ferrellgas,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hanging="410"/>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Formation</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Ferrellgas Finance Corp. (the “Finance Corp.”), a Delaware corporation, was formed on January 16, 2003 and is a wholly-owned subsidiary of Ferrellgas, L.P. (the “Partnership”).</w:t>
      </w:r>
    </w:p>
    <w:p>
      <w:pPr>
        <w:spacing w:after="0" w:line="170"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 Partnership contributed $1,000 to the Finance Corp. on January 24, 2003 in exchange for 1,000 shares of common stock.</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Finance Corp. has nominal assets, does not conduct any operations and has no employees.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continuity of operations, the realization of assets and the satisfaction of liabilities in the normal course of business. As discussed in Note B – Contingencies and commitments, the Finance Corp serves as co-issuer and co-obligor for debt securities of the Partnership. The Partnership has $500.0 million in unsecured notes due May 1, 2021, which are classified as current in its consolidated financial statements. This obligation is only reported on the consolidated balance sheet of the Partnership. The ability of the Partnership to restructure, refinance or otherwise satisfy these notes is uncertain considering the level of other outstanding indebtedness. The Finance Corp. does not have sufficient cash reserves or the ability to generate sufficient future cash flows to satisfy its obligations as co-obligor of the debt securities of the Partnership. Given these concerns, we believe there is substantial doubt about the Finance Corp’s ability to continue as a going concern. The Partnership has engaged Moelis &amp; Company LLC as its financial advisor and the law firm of Squire Patton Boggs LLP to assist in the Partnership’s ongoing process to reduce existing debt and address its debt maturities. The outcome of the Partnership’s debt reduction strategy continues to remain uncertain.</w:t>
      </w:r>
    </w:p>
    <w:p>
      <w:pPr>
        <w:spacing w:after="0" w:line="164" w:lineRule="exact"/>
        <w:rPr>
          <w:sz w:val="20"/>
          <w:szCs w:val="20"/>
          <w:color w:val="auto"/>
        </w:rPr>
      </w:pPr>
    </w:p>
    <w:p>
      <w:pPr>
        <w:ind w:left="440" w:hanging="390"/>
        <w:spacing w:after="0"/>
        <w:tabs>
          <w:tab w:leader="none" w:pos="4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The Finance Corp. serves as co-issuer and co-obligor for debt securities of the Partnership. The Finance Corp. is liable as co-issuer and co-obligor for (i) the $500 million aggregate principal amount of the Partnership’s unsecured senior notes due 2021, (ii) the $475 million aggregate principal amount of the Partnership’s unsecured senior notes due 2022, and</w:t>
      </w:r>
    </w:p>
    <w:p>
      <w:pPr>
        <w:spacing w:after="0" w:line="2" w:lineRule="exact"/>
        <w:rPr>
          <w:sz w:val="20"/>
          <w:szCs w:val="20"/>
          <w:color w:val="auto"/>
        </w:rPr>
      </w:pPr>
    </w:p>
    <w:p>
      <w:pPr>
        <w:ind w:left="60" w:right="239" w:hanging="10"/>
        <w:spacing w:after="0" w:line="260" w:lineRule="auto"/>
        <w:tabs>
          <w:tab w:leader="none" w:pos="3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$500 million aggregate principal amount of the Partnership’s unsecured senior notes due 2023, which obligations are only reported on the Partnership’s consolidated balance sheet.</w:t>
      </w:r>
    </w:p>
    <w:p>
      <w:pPr>
        <w:spacing w:after="0" w:line="181" w:lineRule="exact"/>
        <w:rPr>
          <w:sz w:val="20"/>
          <w:szCs w:val="20"/>
          <w:color w:val="auto"/>
        </w:rPr>
      </w:pPr>
    </w:p>
    <w:p>
      <w:pPr>
        <w:ind w:left="460" w:hanging="410"/>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Income taxes have been computed separately as the Finance Corp. files its own income tax return. Deferred income taxes are provided as a result of temporary differences between financial and tax reporting using the asset/liability method. Deferred income taxes are recognized for the tax consequences of temporary differences between the financial statement carrying amounts and tax basis of existing assets and liabilities.</w:t>
      </w:r>
    </w:p>
    <w:p>
      <w:pPr>
        <w:spacing w:after="0" w:line="187"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Due to the inability of the Finance Corp. to utilize the deferred tax benefit of $17,426 associated with the net operating loss carryforward of $82,979 generated prior to fiscal 2020, a valuation allowance has been provided on the full amount of the deferred tax asset. Accordingly, there is no net deferred tax benefit for fiscal 2020, 2019 or 2018, and there is no net deferred tax asset as of July 31, 2020 and 2019. The net operating loss carryforwards generated during and after fiscal 2018 are carried forward indefinitely, but are limited to 80% of the taxable income in any one period. The net operating losses generated prior to July 31, 2018 are still subject to prior tax law and will expire at various dates through July 31, 2037.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7" w:name="page208"/>
    <w:bookmarkEnd w:id="2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10"/>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The Finance Corp. has evaluated events and transactions occurring after the balance sheet date through the date the Finance Corp.’s consolidated financial statements were issued, and concluded that there were no events or transactions occurring during this period that required recognition or disclosure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8" w:name="page209"/>
    <w:bookmarkEnd w:id="2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INDEX TO FINANCIAL STATEMENT SCHEDULES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53"/>
        </w:trPr>
        <w:tc>
          <w:tcPr>
            <w:tcW w:w="84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Ferrellgas Partners, L.P. and Subsidiaries</w:t>
            </w: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1"/>
        </w:trPr>
        <w:tc>
          <w:tcPr>
            <w:tcW w:w="848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line="190" w:lineRule="exact"/>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Schedule I</w:t>
              </w:r>
            </w:hyperlink>
          </w:p>
        </w:tc>
        <w:tc>
          <w:tcPr>
            <w:tcW w:w="66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210">
              <w:r>
                <w:rPr>
                  <w:rFonts w:ascii="Arial" w:cs="Arial" w:eastAsia="Arial" w:hAnsi="Arial"/>
                  <w:sz w:val="18"/>
                  <w:szCs w:val="18"/>
                  <w:color w:val="0000EE"/>
                  <w:w w:val="88"/>
                </w:rPr>
                <w:t>Parent Only Balance Sheets as of July 31, 2020 and 2019 and Statements of Operations and</w:t>
              </w:r>
            </w:hyperlink>
          </w:p>
        </w:tc>
        <w:tc>
          <w:tcPr>
            <w:tcW w:w="600" w:type="dxa"/>
            <w:vAlign w:val="bottom"/>
          </w:tcPr>
          <w:p>
            <w:pPr>
              <w:spacing w:after="0"/>
              <w:rPr>
                <w:sz w:val="16"/>
                <w:szCs w:val="16"/>
                <w:color w:val="auto"/>
              </w:rPr>
            </w:pPr>
          </w:p>
        </w:tc>
        <w:tc>
          <w:tcPr>
            <w:tcW w:w="400" w:type="dxa"/>
            <w:vAlign w:val="bottom"/>
          </w:tcPr>
          <w:p>
            <w:pPr>
              <w:ind w:left="140"/>
              <w:spacing w:after="0" w:line="190"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200" w:type="dxa"/>
            <w:vAlign w:val="bottom"/>
            <w:gridSpan w:val="3"/>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Cash Flows for the years ended July 31, 2020, 2019 and 2018</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Schedule II</w:t>
              </w:r>
            </w:hyperlink>
          </w:p>
        </w:tc>
        <w:tc>
          <w:tcPr>
            <w:tcW w:w="7200" w:type="dxa"/>
            <w:vAlign w:val="bottom"/>
            <w:gridSpan w:val="3"/>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Valuation and Qualifying Accounts for the years ended July 31, 2020, 2019 and 2018</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418"/>
        </w:trPr>
        <w:tc>
          <w:tcPr>
            <w:tcW w:w="8480" w:type="dxa"/>
            <w:vAlign w:val="bottom"/>
            <w:gridSpan w:val="4"/>
          </w:tcPr>
          <w:p>
            <w:pPr>
              <w:spacing w:after="0"/>
              <w:rPr>
                <w:sz w:val="20"/>
                <w:szCs w:val="20"/>
                <w:color w:val="auto"/>
              </w:rPr>
            </w:pPr>
            <w:r>
              <w:rPr>
                <w:rFonts w:ascii="Arial" w:cs="Arial" w:eastAsia="Arial" w:hAnsi="Arial"/>
                <w:sz w:val="18"/>
                <w:szCs w:val="18"/>
                <w:b w:val="1"/>
                <w:bCs w:val="1"/>
                <w:color w:val="auto"/>
              </w:rPr>
              <w:t>Ferrellgas, L.P.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Schedule II</w:t>
              </w:r>
            </w:hyperlink>
          </w:p>
        </w:tc>
        <w:tc>
          <w:tcPr>
            <w:tcW w:w="7200" w:type="dxa"/>
            <w:vAlign w:val="bottom"/>
            <w:gridSpan w:val="3"/>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Valuation and Qualifying Accounts for the years ended July 31, 2020, 2019 and 2018</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9" w:name="page210"/>
    <w:bookmarkEnd w:id="2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140"/>
        <w:spacing w:after="0"/>
        <w:rPr>
          <w:sz w:val="20"/>
          <w:szCs w:val="20"/>
          <w:color w:val="auto"/>
        </w:rPr>
      </w:pPr>
      <w:r>
        <w:rPr>
          <w:rFonts w:ascii="Arial" w:cs="Arial" w:eastAsia="Arial" w:hAnsi="Arial"/>
          <w:sz w:val="15"/>
          <w:szCs w:val="15"/>
          <w:b w:val="1"/>
          <w:bCs w:val="1"/>
          <w:color w:val="auto"/>
        </w:rPr>
        <w:t>Schedule 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ONLY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DEFICIT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Ferrellgas, L.P.</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deficit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Common unitholders (97,152,665 units outstanding at 2020 and 2019)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(1,126,452)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(1,046,245)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partner unitholder (989,926 units outstanding at 2020 and 2019)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Ferrellgas Partners, L.P. partners’ deficit</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(1,200,042)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(1,131,233)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b w:val="1"/>
                <w:bCs w:val="1"/>
                <w:color w:val="auto"/>
              </w:rPr>
              <w:t>Total liabilities and partners’ deficit</w:t>
            </w:r>
          </w:p>
        </w:tc>
        <w:tc>
          <w:tcPr>
            <w:tcW w:w="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0" w:name="page211"/>
    <w:bookmarkEnd w:id="2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ind w:right="553"/>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Ferrellgas, L.P.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general and administrative expense</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(49,377)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(29,233)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(220,039)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(33,073)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(34,984)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(82,499)</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(64,247)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(254,581)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1" w:name="page212"/>
    <w:bookmarkEnd w:id="2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FERRELLGAS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8"/>
          </w:tcPr>
          <w:p>
            <w:pPr>
              <w:ind w:left="440"/>
              <w:spacing w:after="0"/>
              <w:rPr>
                <w:sz w:val="20"/>
                <w:szCs w:val="20"/>
                <w:color w:val="auto"/>
              </w:rPr>
            </w:pPr>
            <w:r>
              <w:rPr>
                <w:rFonts w:ascii="Arial" w:cs="Arial" w:eastAsia="Arial" w:hAnsi="Arial"/>
                <w:sz w:val="14"/>
                <w:szCs w:val="14"/>
                <w:b w:val="1"/>
                <w:bCs w:val="1"/>
                <w:color w:val="auto"/>
              </w:rPr>
              <w:t>For the year ended July 31,</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Arial" w:cs="Arial" w:eastAsia="Arial" w:hAnsi="Arial"/>
                <w:sz w:val="18"/>
                <w:szCs w:val="18"/>
                <w:color w:val="auto"/>
              </w:rPr>
              <w:t>Net loss attributable to Ferrellgas Partners, L.P.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(82,499)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(64,247)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(254,581)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of Ferrellgas, L.P.</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(15,489)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(30,887)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received from Ferrellgas, L.P.</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Arial" w:cs="Arial" w:eastAsia="Arial" w:hAnsi="Arial"/>
                <w:sz w:val="18"/>
                <w:szCs w:val="18"/>
                <w:color w:val="auto"/>
              </w:rPr>
              <w:t>Cash contributed to Ferrellgas, L.P.</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Arial" w:cs="Arial" w:eastAsia="Arial" w:hAnsi="Arial"/>
                <w:sz w:val="18"/>
                <w:szCs w:val="18"/>
                <w:color w:val="auto"/>
              </w:rPr>
              <w:t>Distributions paid to common and general partner unitholders</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(9,814)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financing costs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2" w:name="page213"/>
    <w:bookmarkEnd w:id="2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59"/>
        <w:spacing w:after="0"/>
        <w:rPr>
          <w:sz w:val="20"/>
          <w:szCs w:val="20"/>
          <w:color w:val="auto"/>
        </w:rPr>
      </w:pPr>
      <w:r>
        <w:rPr>
          <w:rFonts w:ascii="Arial" w:cs="Arial" w:eastAsia="Arial" w:hAnsi="Arial"/>
          <w:sz w:val="18"/>
          <w:szCs w:val="18"/>
          <w:b w:val="1"/>
          <w:bCs w:val="1"/>
          <w:color w:val="auto"/>
        </w:rPr>
        <w:t>Schedule II</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 at</w:t>
            </w: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6"/>
              </w:rPr>
              <w:t>cost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of period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expenses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of period</w:t>
            </w: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July 31, 2020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2,463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9,382 (1)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July 31, 2019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(1,517)(1)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July 31, 2018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Uncollectible accounts written off, net of recoveries.</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As discussed previously, on June 25, 2018, Ferrellgas and Mr. Ballengee entered into an Omnibus Agreement (the “Omnibus Agreement”) that, among other things, included an executed unsecured promissory note in favor of the operating partnership with an original principal amount of $18.3 million (the “Revised Jamex Promissory Note”). On July 1, 2020, Mr. Ballengee defaulted on the Revised Jamex Promissory Note by failing to make the first payment in the amount of $2.5 million. As a result, as of July 31, 2020, Ferrellgas recorded a bad debt reserve against $17.3 million of the Revised Jamex Promissory Note and is pursuing collections from Mr. Ballengee. As of July 31, 2020, $12.5 million was classified as current notes receivable, all of which is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3" w:name="page214"/>
    <w:bookmarkEnd w:id="2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5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51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beginning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6"/>
              </w:rPr>
              <w:t>cost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period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expenses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of period</w:t>
            </w: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July 31, 2020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2,463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9,382 (1)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July 31, 2019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2,455</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July 31, 2018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1,976</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Uncollectible accounts written off, net of recoveries.</w:t>
      </w:r>
    </w:p>
    <w:p>
      <w:pPr>
        <w:spacing w:after="0" w:line="225"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As discussed previously, on June 25, 2018, Ferrellgas and Mr. Ballengee entered into an Omnibus Agreement (the “Omnibus Agreement”) that, among other things, included an executed unsecured promissory note in favor of the operating partnership with an original principal amount of $18.3 million (the “Revised Jamex Promissory Note”). On July 1, 2020, Mr. Ballengee defaulted on the Revised Jamex Promissory Note by failing to make the first payment in the amount of $2.5 million. As a result, as of July 31, 2020, Ferrellgas recorded a bad debt reserve against $17.3 million of the Revised Jamex Promissory Note and is pursuing collections from Mr. Ballengee. As of July 31, 2020, $12.5 million was classified as current notes receivable, all of which is reserved.</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8"/>
          <w:szCs w:val="18"/>
          <w:color w:val="FFFFFF"/>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SUBSIDIARIES OF</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FERRELLGAS PARTNERS, L.P.</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Ferrellgas, L.P., a Delaware limited partnership</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Ferrellgas Partners Finance Corp., a Delaware Corporation</w:t>
      </w:r>
    </w:p>
    <w:p>
      <w:pPr>
        <w:spacing w:after="0" w:line="200" w:lineRule="exact"/>
        <w:rPr>
          <w:sz w:val="20"/>
          <w:szCs w:val="20"/>
          <w:color w:val="auto"/>
        </w:rPr>
      </w:pPr>
    </w:p>
    <w:p>
      <w:pPr>
        <w:spacing w:after="0" w:line="2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SUBSIDIARIES OF</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FERRELLGAS, L.P.</w:t>
      </w:r>
    </w:p>
    <w:p>
      <w:pPr>
        <w:spacing w:after="0" w:line="211" w:lineRule="exact"/>
        <w:rPr>
          <w:sz w:val="20"/>
          <w:szCs w:val="20"/>
          <w:color w:val="auto"/>
        </w:rPr>
      </w:pPr>
    </w:p>
    <w:p>
      <w:pPr>
        <w:jc w:val="center"/>
        <w:ind w:left="1940" w:right="2400"/>
        <w:spacing w:after="0" w:line="251" w:lineRule="auto"/>
        <w:rPr>
          <w:sz w:val="20"/>
          <w:szCs w:val="20"/>
          <w:color w:val="auto"/>
        </w:rPr>
      </w:pPr>
      <w:r>
        <w:rPr>
          <w:rFonts w:ascii="Arial" w:cs="Arial" w:eastAsia="Arial" w:hAnsi="Arial"/>
          <w:sz w:val="18"/>
          <w:szCs w:val="18"/>
          <w:color w:val="auto"/>
        </w:rPr>
        <w:t>Ferrellgas Receivables, LLC, a Delaware limited liability company Ferrellgas Finance Corp., a Delaware Corporation FNA Canada, Inc., a Delaware Corporation Blue Rhino Global Sourcing, Inc., a Delaware Corporation Uni Asia, Ltd, a Seychelles limited company Bridger Logistics, LLC, a Louisiana limited liability company Bridger Transportation, LLC, a Louisiana limited liability company Bridger Leasing, LLC, a Louisiana limited liability company Bridger Storage, LLC, a Louisiana limited liability company Bridger Marine, LLC, a Delaware limited liability company Bridger Admin Services II, LLC, a Delaware limited liability company Bridger Rail Shipping, LLC, a Louisiana limited liability company South C&amp;C Trucking, LLC, a Texas limited liability company Bridger Terminals, LLC, a Delaware limited liability company Bridger Real Property, LLC, a Delaware limited liability company</w:t>
      </w:r>
    </w:p>
    <w:p>
      <w:pPr>
        <w:spacing w:after="0" w:line="7" w:lineRule="exact"/>
        <w:rPr>
          <w:sz w:val="20"/>
          <w:szCs w:val="20"/>
          <w:color w:val="auto"/>
        </w:rPr>
      </w:pPr>
    </w:p>
    <w:p>
      <w:pPr>
        <w:jc w:val="both"/>
        <w:ind w:left="2280" w:right="2740" w:firstLine="2"/>
        <w:spacing w:after="0" w:line="281" w:lineRule="auto"/>
        <w:tabs>
          <w:tab w:leader="none" w:pos="255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Addison Partners, LLC, a Texas limited liability company J.J. Karnack Partners, LLC, a Texas limited liability company</w:t>
      </w:r>
    </w:p>
    <w:p>
      <w:pPr>
        <w:spacing w:after="0" w:line="1" w:lineRule="exact"/>
        <w:rPr>
          <w:rFonts w:ascii="Arial" w:cs="Arial" w:eastAsia="Arial" w:hAnsi="Arial"/>
          <w:sz w:val="16"/>
          <w:szCs w:val="16"/>
          <w:color w:val="auto"/>
        </w:rPr>
      </w:pPr>
    </w:p>
    <w:p>
      <w:pPr>
        <w:ind w:left="2640"/>
        <w:spacing w:after="0"/>
        <w:rPr>
          <w:rFonts w:ascii="Arial" w:cs="Arial" w:eastAsia="Arial" w:hAnsi="Arial"/>
          <w:sz w:val="16"/>
          <w:szCs w:val="16"/>
          <w:color w:val="auto"/>
        </w:rPr>
      </w:pPr>
      <w:r>
        <w:rPr>
          <w:rFonts w:ascii="Arial" w:cs="Arial" w:eastAsia="Arial" w:hAnsi="Arial"/>
          <w:sz w:val="18"/>
          <w:szCs w:val="18"/>
          <w:color w:val="auto"/>
        </w:rPr>
        <w:t>J.J. Liberty, LLC, a Texas limited liability company</w:t>
      </w:r>
    </w:p>
    <w:p>
      <w:pPr>
        <w:spacing w:after="0" w:line="9" w:lineRule="exact"/>
        <w:rPr>
          <w:rFonts w:ascii="Arial" w:cs="Arial" w:eastAsia="Arial" w:hAnsi="Arial"/>
          <w:sz w:val="16"/>
          <w:szCs w:val="16"/>
          <w:color w:val="auto"/>
        </w:rPr>
      </w:pPr>
    </w:p>
    <w:p>
      <w:pPr>
        <w:ind w:left="2420"/>
        <w:spacing w:after="0"/>
        <w:rPr>
          <w:rFonts w:ascii="Arial" w:cs="Arial" w:eastAsia="Arial" w:hAnsi="Arial"/>
          <w:sz w:val="16"/>
          <w:szCs w:val="16"/>
          <w:color w:val="auto"/>
        </w:rPr>
      </w:pPr>
      <w:r>
        <w:rPr>
          <w:rFonts w:ascii="Arial" w:cs="Arial" w:eastAsia="Arial" w:hAnsi="Arial"/>
          <w:sz w:val="18"/>
          <w:szCs w:val="18"/>
          <w:color w:val="auto"/>
        </w:rPr>
        <w:t>Bridger Lake,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23.1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issued our report dated October 15, 2020, with respect to the consolidated financial statements and schedules included in the Annual Report of Ferrellgas Partners, L.P. on Form 10-K for the year ended July 31, 2020. We consent to the incorporation by reference of said report in the Registration Statements of Ferrellgas Partners, L.P. on Forms S-3 (File No. 333-121350, File No. 333-115765, File No. 333-204620, File No. 333-130193, File No. 333-134867, and File No. 333-207227), on Forms S-4 (File No. 333-197308 and File No. 333-219218) and on Forms S-8 (File No. 333-84344 and File No. 333-87633).</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October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25" w:lineRule="exact"/>
        <w:rPr>
          <w:sz w:val="20"/>
          <w:szCs w:val="20"/>
          <w:color w:val="auto"/>
        </w:rPr>
      </w:pPr>
    </w:p>
    <w:p>
      <w:pPr>
        <w:ind w:left="340" w:hanging="332"/>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2020 of Ferrellgas Partners, L.P. (the “Registrant”);</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00" w:hanging="324"/>
        <w:spacing w:after="0" w:line="255"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Chief Executive Officer and President;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of the Board of Directors of Ferrellgas, Inc., general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partner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FERRELLGAS PARTNERS,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 Ruisinger, certify that:</w:t>
      </w:r>
    </w:p>
    <w:p>
      <w:pPr>
        <w:spacing w:after="0" w:line="225"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2020 of Ferrellgas Partners, L.P. (the “Registrant”);</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00" w:hanging="324"/>
        <w:spacing w:after="0" w:line="255"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Treasurer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 of Ferrellgas,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general partner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FINANCE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25"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 have reviewed this report on Form 10-K for the year ended July 31, 2020 of Ferrellgas Partners Finance Corp. (the “Registrant”);</w:t>
      </w:r>
    </w:p>
    <w:p>
      <w:pPr>
        <w:spacing w:after="0" w:line="248"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00" w:hanging="324"/>
        <w:spacing w:after="0" w:line="255"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FERRELLGAS PARTNERS FINANCE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 Ruisinger, certify that:</w:t>
      </w:r>
    </w:p>
    <w:p>
      <w:pPr>
        <w:spacing w:after="0" w:line="225"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 have reviewed this report on Form 10-K for the year ended July 31, 2020 of Ferrellgas Partners Finance Corp. (the “Registrant”);</w:t>
      </w:r>
    </w:p>
    <w:p>
      <w:pPr>
        <w:spacing w:after="0" w:line="248"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00" w:hanging="324"/>
        <w:spacing w:after="0" w:line="255"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and 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31.3</w:t>
      </w:r>
    </w:p>
    <w:p>
      <w:pPr>
        <w:spacing w:after="0" w:line="18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FERRELLGAS,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25" w:lineRule="exact"/>
        <w:rPr>
          <w:sz w:val="20"/>
          <w:szCs w:val="20"/>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2020 of Ferrellgas, L.P. (the “Registrant”);</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00" w:hanging="324"/>
        <w:spacing w:after="0" w:line="255" w:lineRule="auto"/>
        <w:tabs>
          <w:tab w:leader="none" w:pos="9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Interim Chief Executive Officer and President of Ferrellgas, Inc.,</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Ferrellgas GP II, LLC and Ferrellgas GP III, LLC, the Registrant’s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general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1" w:name="page222"/>
    <w:bookmarkEnd w:id="221"/>
    <w:p>
      <w:pPr>
        <w:ind w:left="4180"/>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FERRELLGAS,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 Ruisinger, certify that:</w:t>
      </w:r>
    </w:p>
    <w:p>
      <w:pPr>
        <w:spacing w:after="0" w:line="225"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2020 of Ferrellgas, L.P. (the “Registrant”);</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00" w:hanging="324"/>
        <w:spacing w:after="0" w:line="255"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Treasurer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 of Ferrellgas,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Ferrellgas GP II, LLC and Ferrellgas GP III, LLC, the Registrant’s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general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FINANCE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25" w:lineRule="exact"/>
        <w:rPr>
          <w:sz w:val="20"/>
          <w:szCs w:val="20"/>
          <w:color w:val="auto"/>
        </w:rPr>
      </w:pPr>
    </w:p>
    <w:p>
      <w:pPr>
        <w:ind w:left="320" w:hanging="312"/>
        <w:spacing w:after="0"/>
        <w:tabs>
          <w:tab w:leader="none" w:pos="3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2020 of Ferrellgas Finance Corp. (the “Registrant”);</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40" w:hanging="332"/>
        <w:spacing w:after="0" w:line="263" w:lineRule="auto"/>
        <w:tabs>
          <w:tab w:leader="none" w:pos="32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hanging="324"/>
        <w:spacing w:after="0" w:line="287" w:lineRule="auto"/>
        <w:tabs>
          <w:tab w:leader="none" w:pos="96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20" w:hanging="324"/>
        <w:spacing w:after="0" w:line="281" w:lineRule="auto"/>
        <w:tabs>
          <w:tab w:leader="none" w:pos="97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80" w:hanging="324"/>
        <w:spacing w:after="0" w:line="250" w:lineRule="auto"/>
        <w:tabs>
          <w:tab w:leader="none" w:pos="96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40" w:hanging="324"/>
        <w:spacing w:after="0" w:line="302" w:lineRule="auto"/>
        <w:tabs>
          <w:tab w:leader="none" w:pos="97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60" w:hanging="332"/>
        <w:spacing w:after="0" w:line="263" w:lineRule="auto"/>
        <w:tabs>
          <w:tab w:leader="none" w:pos="32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40" w:hanging="324"/>
        <w:spacing w:after="0" w:line="255" w:lineRule="auto"/>
        <w:tabs>
          <w:tab w:leader="none" w:pos="9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600" w:hanging="324"/>
        <w:spacing w:after="0" w:line="260" w:lineRule="auto"/>
        <w:tabs>
          <w:tab w:leader="none" w:pos="96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FERRELLGAS FINANCE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 Ruisinger, certify that:</w:t>
      </w:r>
    </w:p>
    <w:p>
      <w:pPr>
        <w:spacing w:after="0" w:line="225" w:lineRule="exact"/>
        <w:rPr>
          <w:sz w:val="20"/>
          <w:szCs w:val="20"/>
          <w:color w:val="auto"/>
        </w:rPr>
      </w:pPr>
    </w:p>
    <w:p>
      <w:pPr>
        <w:ind w:left="320" w:hanging="312"/>
        <w:spacing w:after="0"/>
        <w:tabs>
          <w:tab w:leader="none" w:pos="3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 have reviewed this report on Form 10-K for the year ended July 31, 2020 of Ferrellgas Finance Corp. (the “Registrant”);</w:t>
      </w:r>
    </w:p>
    <w:p>
      <w:pPr>
        <w:spacing w:after="0" w:line="236" w:lineRule="exact"/>
        <w:rPr>
          <w:rFonts w:ascii="Arial" w:cs="Arial" w:eastAsia="Arial" w:hAnsi="Arial"/>
          <w:sz w:val="17"/>
          <w:szCs w:val="17"/>
          <w:color w:val="auto"/>
        </w:rPr>
      </w:pPr>
    </w:p>
    <w:p>
      <w:pPr>
        <w:ind w:left="340" w:hanging="332"/>
        <w:spacing w:after="0" w:line="263" w:lineRule="auto"/>
        <w:tabs>
          <w:tab w:leader="none" w:pos="33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63" w:lineRule="auto"/>
        <w:tabs>
          <w:tab w:leader="none" w:pos="33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287" w:lineRule="auto"/>
        <w:tabs>
          <w:tab w:leader="none" w:pos="96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980" w:right="400" w:hanging="324"/>
        <w:spacing w:after="0" w:line="281" w:lineRule="auto"/>
        <w:tabs>
          <w:tab w:leader="none" w:pos="97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980" w:right="260" w:hanging="324"/>
        <w:spacing w:after="0" w:line="250" w:lineRule="auto"/>
        <w:tabs>
          <w:tab w:leader="none" w:pos="96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980" w:right="20" w:hanging="324"/>
        <w:spacing w:after="0" w:line="302" w:lineRule="auto"/>
        <w:tabs>
          <w:tab w:leader="none" w:pos="97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40" w:right="140" w:hanging="332"/>
        <w:spacing w:after="0" w:line="263" w:lineRule="auto"/>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right="220" w:hanging="324"/>
        <w:spacing w:after="0" w:line="255" w:lineRule="auto"/>
        <w:tabs>
          <w:tab w:leader="none" w:pos="95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980" w:right="580" w:hanging="324"/>
        <w:spacing w:after="0" w:line="260" w:lineRule="auto"/>
        <w:tabs>
          <w:tab w:leader="none" w:pos="96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and 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accompanying Annual Report on Form 10-K of Ferrellgas Partners, L.P. (the “Registrant”) for the year ended July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46" w:lineRule="exact"/>
        <w:rPr>
          <w:sz w:val="20"/>
          <w:szCs w:val="20"/>
          <w:color w:val="auto"/>
        </w:rPr>
      </w:pPr>
    </w:p>
    <w:p>
      <w:pPr>
        <w:ind w:right="360" w:firstLine="8"/>
        <w:spacing w:after="0" w:line="277" w:lineRule="auto"/>
        <w:tabs>
          <w:tab w:leader="none" w:pos="67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9" w:lineRule="exact"/>
        <w:rPr>
          <w:rFonts w:ascii="Arial" w:cs="Arial" w:eastAsia="Arial" w:hAnsi="Arial"/>
          <w:sz w:val="18"/>
          <w:szCs w:val="18"/>
          <w:color w:val="auto"/>
        </w:rPr>
      </w:pPr>
    </w:p>
    <w:p>
      <w:pPr>
        <w:ind w:right="40" w:firstLine="8"/>
        <w:spacing w:after="0" w:line="277" w:lineRule="auto"/>
        <w:tabs>
          <w:tab w:leader="none" w:pos="67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14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8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Interim Chief Executive Officer and President; Chairman of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Board of Directors of Ferrellgas, Inc., general partner of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Treasurer (Principal Financial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Accounting Officer) of Ferrellgas, Inc., general partner of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accompanying Annual Report on Form 10-K of Ferrellgas Partners Finance Corp. for the year ended July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46" w:lineRule="exact"/>
        <w:rPr>
          <w:sz w:val="20"/>
          <w:szCs w:val="20"/>
          <w:color w:val="auto"/>
        </w:rPr>
      </w:pPr>
    </w:p>
    <w:p>
      <w:pPr>
        <w:ind w:right="360" w:firstLine="8"/>
        <w:spacing w:after="0" w:line="277" w:lineRule="auto"/>
        <w:tabs>
          <w:tab w:leader="none" w:pos="67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9" w:lineRule="exact"/>
        <w:rPr>
          <w:rFonts w:ascii="Arial" w:cs="Arial" w:eastAsia="Arial" w:hAnsi="Arial"/>
          <w:sz w:val="18"/>
          <w:szCs w:val="18"/>
          <w:color w:val="auto"/>
        </w:rPr>
      </w:pPr>
    </w:p>
    <w:p>
      <w:pPr>
        <w:ind w:right="40" w:firstLine="8"/>
        <w:spacing w:after="0" w:line="277" w:lineRule="auto"/>
        <w:tabs>
          <w:tab w:leader="none" w:pos="67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Ferrellgas Partners Finance Corp. at the dates and for the periods indicated within the Report.</w:t>
      </w:r>
    </w:p>
    <w:p>
      <w:pPr>
        <w:spacing w:after="0" w:line="14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8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Ferrellgas Partners Finance Corp. or other filing of Ferrellgas Partners Finance Corp. made pursuant to the Exchange Act or Securities Act of 1933, as amended, unless specifically identified as being incorporated therein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2020</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Chief Executive Officer and President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and 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accompanying Annual Report on Form 10-K of Ferrellgas, L.P. (the “Registrant”) for the year ended July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46" w:lineRule="exact"/>
        <w:rPr>
          <w:sz w:val="20"/>
          <w:szCs w:val="20"/>
          <w:color w:val="auto"/>
        </w:rPr>
      </w:pPr>
    </w:p>
    <w:p>
      <w:pPr>
        <w:ind w:right="360" w:firstLine="8"/>
        <w:spacing w:after="0" w:line="277" w:lineRule="auto"/>
        <w:tabs>
          <w:tab w:leader="none" w:pos="67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9" w:lineRule="exact"/>
        <w:rPr>
          <w:rFonts w:ascii="Arial" w:cs="Arial" w:eastAsia="Arial" w:hAnsi="Arial"/>
          <w:sz w:val="18"/>
          <w:szCs w:val="18"/>
          <w:color w:val="auto"/>
        </w:rPr>
      </w:pPr>
    </w:p>
    <w:p>
      <w:pPr>
        <w:ind w:right="40" w:firstLine="8"/>
        <w:spacing w:after="0" w:line="277" w:lineRule="auto"/>
        <w:tabs>
          <w:tab w:leader="none" w:pos="67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at the dates and for the periods indicated within the Report.</w:t>
      </w:r>
    </w:p>
    <w:p>
      <w:pPr>
        <w:spacing w:after="0" w:line="14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8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2020</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Interim Chief Executive Officer and President of Ferrellgas, Inc.,</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Ferrellgas GP II, LLC and Ferrellgas GP III, LLC, the Registrant’s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general partners</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Treasurer (Principal Financial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Accounting Officer) of Ferrellgas, Inc., Ferrellgas GP II, LLC and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Ferrellgas GP III, LLC, the Registrant’s general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8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connection with the accompanying Annual Report on Form 10-K of Ferrellgas Finance Corp. for the year ended July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46" w:lineRule="exact"/>
        <w:rPr>
          <w:sz w:val="20"/>
          <w:szCs w:val="20"/>
          <w:color w:val="auto"/>
        </w:rPr>
      </w:pPr>
    </w:p>
    <w:p>
      <w:pPr>
        <w:ind w:right="360" w:firstLine="8"/>
        <w:spacing w:after="0" w:line="277" w:lineRule="auto"/>
        <w:tabs>
          <w:tab w:leader="none" w:pos="67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9" w:lineRule="exact"/>
        <w:rPr>
          <w:rFonts w:ascii="Arial" w:cs="Arial" w:eastAsia="Arial" w:hAnsi="Arial"/>
          <w:sz w:val="18"/>
          <w:szCs w:val="18"/>
          <w:color w:val="auto"/>
        </w:rPr>
      </w:pPr>
    </w:p>
    <w:p>
      <w:pPr>
        <w:ind w:right="40" w:firstLine="8"/>
        <w:spacing w:after="0" w:line="277" w:lineRule="auto"/>
        <w:tabs>
          <w:tab w:leader="none" w:pos="67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Ferrellgas Finance Corp. at the dates and for the periods indicated within the Report.</w:t>
      </w:r>
    </w:p>
    <w:p>
      <w:pPr>
        <w:spacing w:after="0" w:line="14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83"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Ferrellgas Finance Corp. or other filing of Ferrellgas Finance Corp. made pursuant to the Exchange Act or Securities Act of 1933, as amended, unless specifically identified as being incorporated therein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2020</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James E. Ferrell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James E. Ferrell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Chief Executive Officer and President</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William E. Ruisinger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William E. Ruisinger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and 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1)"/>
      <w:numFmt w:val="lowerRoman"/>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
      <w:numFmt w:val="bullet"/>
      <w:start w:val="1"/>
    </w:lvl>
  </w:abstractNum>
  <w:abstractNum w:abstractNumId="31">
    <w:nsid w:val="1D545C4D"/>
    <w:multiLevelType w:val="hybridMultilevel"/>
    <w:lvl w:ilvl="0">
      <w:lvlJc w:val="left"/>
      <w:lvlText w:val="●"/>
      <w:numFmt w:val="bullet"/>
      <w:start w:val="1"/>
    </w:lvl>
  </w:abstractNum>
  <w:abstractNum w:abstractNumId="32">
    <w:nsid w:val="59ADEA3D"/>
    <w:multiLevelType w:val="hybridMultilevel"/>
    <w:lvl w:ilvl="0">
      <w:lvlJc w:val="left"/>
      <w:lvlText w:val="●"/>
      <w:numFmt w:val="bullet"/>
      <w:start w:val="1"/>
    </w:lvl>
  </w:abstractNum>
  <w:abstractNum w:abstractNumId="33">
    <w:nsid w:val="288F1A34"/>
    <w:multiLevelType w:val="hybridMultilevel"/>
    <w:lvl w:ilvl="0">
      <w:lvlJc w:val="left"/>
      <w:lvlText w:val="(%1)"/>
      <w:numFmt w:val="decimal"/>
      <w:start w:val="1"/>
    </w:lvl>
  </w:abstractNum>
  <w:abstractNum w:abstractNumId="34">
    <w:nsid w:val="2A155DBC"/>
    <w:multiLevelType w:val="hybridMultilevel"/>
    <w:lvl w:ilvl="0">
      <w:lvlJc w:val="left"/>
      <w:lvlText w:val="(%1)"/>
      <w:numFmt w:val="lowerLetter"/>
      <w:start w:val="1"/>
    </w:lvl>
  </w:abstractNum>
  <w:abstractNum w:abstractNumId="35">
    <w:nsid w:val="1D9F6E5F"/>
    <w:multiLevelType w:val="hybridMultilevel"/>
    <w:lvl w:ilvl="0">
      <w:lvlJc w:val="left"/>
      <w:lvlText w:val="(%1)"/>
      <w:numFmt w:val="lowerLetter"/>
      <w:start w:val="5"/>
    </w:lvl>
  </w:abstractNum>
  <w:abstractNum w:abstractNumId="36">
    <w:nsid w:val="97E1B4E"/>
    <w:multiLevelType w:val="hybridMultilevel"/>
    <w:lvl w:ilvl="0">
      <w:lvlJc w:val="left"/>
      <w:lvlText w:val="(%1)"/>
      <w:numFmt w:val="decimal"/>
      <w:start w:val="1"/>
    </w:lvl>
  </w:abstractNum>
  <w:abstractNum w:abstractNumId="37">
    <w:nsid w:val="51088277"/>
    <w:multiLevelType w:val="hybridMultilevel"/>
    <w:lvl w:ilvl="0">
      <w:lvlJc w:val="left"/>
      <w:lvlText w:val="(%1)"/>
      <w:numFmt w:val="lowerLetter"/>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1)"/>
      <w:numFmt w:val="decimal"/>
      <w:start w:val="3"/>
    </w:lvl>
  </w:abstractNum>
  <w:abstractNum w:abstractNumId="40">
    <w:nsid w:val="415E286C"/>
    <w:multiLevelType w:val="hybridMultilevel"/>
    <w:lvl w:ilvl="0">
      <w:lvlJc w:val="left"/>
      <w:lvlText w:val="(%1)"/>
      <w:numFmt w:val="lowerLetter"/>
      <w:start w:val="1"/>
    </w:lvl>
  </w:abstractNum>
  <w:abstractNum w:abstractNumId="41">
    <w:nsid w:val="7C58FD05"/>
    <w:multiLevelType w:val="hybridMultilevel"/>
    <w:lvl w:ilvl="0">
      <w:lvlJc w:val="left"/>
      <w:lvlText w:val="(%1)"/>
      <w:numFmt w:val="lowerLetter"/>
      <w:start w:val="1"/>
    </w:lvl>
  </w:abstractNum>
  <w:abstractNum w:abstractNumId="42">
    <w:nsid w:val="23D86AAC"/>
    <w:multiLevelType w:val="hybridMultilevel"/>
    <w:lvl w:ilvl="0">
      <w:lvlJc w:val="left"/>
      <w:lvlText w:val="(%1)"/>
      <w:numFmt w:val="lowerLetter"/>
      <w:start w:val="2"/>
    </w:lvl>
  </w:abstractNum>
  <w:abstractNum w:abstractNumId="43">
    <w:nsid w:val="45E6D486"/>
    <w:multiLevelType w:val="hybridMultilevel"/>
    <w:lvl w:ilvl="0">
      <w:lvlJc w:val="left"/>
      <w:lvlText w:val="●"/>
      <w:numFmt w:val="bullet"/>
      <w:start w:val="1"/>
    </w:lvl>
  </w:abstractNum>
  <w:abstractNum w:abstractNumId="44">
    <w:nsid w:val="5C10FE21"/>
    <w:multiLevelType w:val="hybridMultilevel"/>
    <w:lvl w:ilvl="0">
      <w:lvlJc w:val="left"/>
      <w:lvlText w:val="(%1)"/>
      <w:numFmt w:val="lowerLetter"/>
      <w:start w:val="1"/>
    </w:lvl>
  </w:abstractNum>
  <w:abstractNum w:abstractNumId="45">
    <w:nsid w:val="E7FFA2B"/>
    <w:multiLevelType w:val="hybridMultilevel"/>
    <w:lvl w:ilvl="0">
      <w:lvlJc w:val="left"/>
      <w:lvlText w:val="●"/>
      <w:numFmt w:val="bullet"/>
      <w:start w:val="1"/>
    </w:lvl>
  </w:abstractNum>
  <w:abstractNum w:abstractNumId="46">
    <w:nsid w:val="3C5991AA"/>
    <w:multiLevelType w:val="hybridMultilevel"/>
    <w:lvl w:ilvl="0">
      <w:lvlJc w:val="left"/>
      <w:lvlText w:val="(%1)"/>
      <w:numFmt w:val="decimal"/>
      <w:start w:val="1"/>
    </w:lvl>
  </w:abstractNum>
  <w:abstractNum w:abstractNumId="47">
    <w:nsid w:val="4BD8591A"/>
    <w:multiLevelType w:val="hybridMultilevel"/>
    <w:lvl w:ilvl="0">
      <w:lvlJc w:val="left"/>
      <w:lvlText w:val="(%1)"/>
      <w:numFmt w:val="decimal"/>
      <w:start w:val="1"/>
    </w:lvl>
  </w:abstractNum>
  <w:abstractNum w:abstractNumId="48">
    <w:nsid w:val="78DF6A55"/>
    <w:multiLevelType w:val="hybridMultilevel"/>
    <w:lvl w:ilvl="0">
      <w:lvlJc w:val="left"/>
      <w:lvlText w:val="(%1)"/>
      <w:numFmt w:val="decimal"/>
      <w:start w:val="1"/>
    </w:lvl>
  </w:abstractNum>
  <w:abstractNum w:abstractNumId="49">
    <w:nsid w:val="39B7AAA2"/>
    <w:multiLevelType w:val="hybridMultilevel"/>
    <w:lvl w:ilvl="0">
      <w:lvlJc w:val="left"/>
      <w:lvlText w:val="●"/>
      <w:numFmt w:val="bullet"/>
      <w:start w:val="1"/>
    </w:lvl>
  </w:abstractNum>
  <w:abstractNum w:abstractNumId="50">
    <w:nsid w:val="2B0D8DBE"/>
    <w:multiLevelType w:val="hybridMultilevel"/>
    <w:lvl w:ilvl="0">
      <w:lvlJc w:val="left"/>
      <w:lvlText w:val="●"/>
      <w:numFmt w:val="bullet"/>
      <w:start w:val="1"/>
    </w:lvl>
  </w:abstractNum>
  <w:abstractNum w:abstractNumId="51">
    <w:nsid w:val="6C80EC70"/>
    <w:multiLevelType w:val="hybridMultilevel"/>
    <w:lvl w:ilvl="0">
      <w:lvlJc w:val="left"/>
      <w:lvlText w:val="(%1)"/>
      <w:numFmt w:val="decimal"/>
      <w:start w:val="4"/>
    </w:lvl>
  </w:abstractNum>
  <w:abstractNum w:abstractNumId="52">
    <w:nsid w:val="379E21B5"/>
    <w:multiLevelType w:val="hybridMultilevel"/>
    <w:lvl w:ilvl="0">
      <w:lvlJc w:val="left"/>
      <w:lvlText w:val="(%1)"/>
      <w:numFmt w:val="decimal"/>
      <w:start w:val="1"/>
    </w:lvl>
    <w:lvl w:ilvl="1">
      <w:lvlJc w:val="left"/>
      <w:lvlText w:val="●"/>
      <w:numFmt w:val="bullet"/>
      <w:start w:val="1"/>
    </w:lvl>
  </w:abstractNum>
  <w:abstractNum w:abstractNumId="53">
    <w:nsid w:val="69E373"/>
    <w:multiLevelType w:val="hybridMultilevel"/>
    <w:lvl w:ilvl="0">
      <w:lvlJc w:val="left"/>
      <w:lvlText w:val="●"/>
      <w:numFmt w:val="bullet"/>
      <w:start w:val="1"/>
    </w:lvl>
  </w:abstractNum>
  <w:abstractNum w:abstractNumId="54">
    <w:nsid w:val="2C27173B"/>
    <w:multiLevelType w:val="hybridMultilevel"/>
    <w:lvl w:ilvl="0">
      <w:lvlJc w:val="left"/>
      <w:lvlText w:val="(%1)"/>
      <w:numFmt w:val="decimal"/>
      <w:start w:val="1"/>
    </w:lvl>
  </w:abstractNum>
  <w:abstractNum w:abstractNumId="55">
    <w:nsid w:val="4C9B0904"/>
    <w:multiLevelType w:val="hybridMultilevel"/>
    <w:lvl w:ilvl="0">
      <w:lvlJc w:val="left"/>
      <w:lvlText w:val="(%1)"/>
      <w:numFmt w:val="decimal"/>
      <w:start w:val="1"/>
    </w:lvl>
  </w:abstractNum>
  <w:abstractNum w:abstractNumId="56">
    <w:nsid w:val="6AA7B75C"/>
    <w:multiLevelType w:val="hybridMultilevel"/>
    <w:lvl w:ilvl="0">
      <w:lvlJc w:val="left"/>
      <w:lvlText w:val="(%1)"/>
      <w:numFmt w:val="decimal"/>
      <w:start w:val="1"/>
    </w:lvl>
  </w:abstractNum>
  <w:abstractNum w:abstractNumId="57">
    <w:nsid w:val="1DF029D3"/>
    <w:multiLevelType w:val="hybridMultilevel"/>
    <w:lvl w:ilvl="0">
      <w:lvlJc w:val="left"/>
      <w:lvlText w:val="(%1)"/>
      <w:numFmt w:val="decimal"/>
      <w:start w:val="1"/>
    </w:lvl>
  </w:abstractNum>
  <w:abstractNum w:abstractNumId="58">
    <w:nsid w:val="5675FF36"/>
    <w:multiLevelType w:val="hybridMultilevel"/>
    <w:lvl w:ilvl="0">
      <w:lvlJc w:val="left"/>
      <w:lvlText w:val="●"/>
      <w:numFmt w:val="bullet"/>
      <w:start w:val="1"/>
    </w:lvl>
  </w:abstractNum>
  <w:abstractNum w:abstractNumId="59">
    <w:nsid w:val="3DD15094"/>
    <w:multiLevelType w:val="hybridMultilevel"/>
    <w:lvl w:ilvl="0">
      <w:lvlJc w:val="left"/>
      <w:lvlText w:val="*"/>
      <w:numFmt w:val="bullet"/>
      <w:start w:val="1"/>
    </w:lvl>
    <w:lvl w:ilvl="1">
      <w:lvlJc w:val="left"/>
      <w:lvlText w:val="(%2)"/>
      <w:numFmt w:val="decimal"/>
      <w:start w:val="1"/>
    </w:lvl>
  </w:abstractNum>
  <w:abstractNum w:abstractNumId="60">
    <w:nsid w:val="3DB012B3"/>
    <w:multiLevelType w:val="hybridMultilevel"/>
    <w:lvl w:ilvl="0">
      <w:lvlJc w:val="left"/>
      <w:lvlText w:val="(%1)"/>
      <w:numFmt w:val="decimal"/>
      <w:start w:val="1"/>
    </w:lvl>
  </w:abstractNum>
  <w:abstractNum w:abstractNumId="61">
    <w:nsid w:val="2708C9AF"/>
    <w:multiLevelType w:val="hybridMultilevel"/>
    <w:lvl w:ilvl="0">
      <w:lvlJc w:val="left"/>
      <w:lvlText w:val="(%1)"/>
      <w:numFmt w:val="decimal"/>
      <w:start w:val="3"/>
    </w:lvl>
  </w:abstractNum>
  <w:abstractNum w:abstractNumId="62">
    <w:nsid w:val="5B25ACE2"/>
    <w:multiLevelType w:val="hybridMultilevel"/>
    <w:lvl w:ilvl="0">
      <w:lvlJc w:val="left"/>
      <w:lvlText w:val="(%1)"/>
      <w:numFmt w:val="decimal"/>
      <w:start w:val="1"/>
    </w:lvl>
  </w:abstractNum>
  <w:abstractNum w:abstractNumId="63">
    <w:nsid w:val="175DFCF0"/>
    <w:multiLevelType w:val="hybridMultilevel"/>
    <w:lvl w:ilvl="0">
      <w:lvlJc w:val="left"/>
      <w:lvlText w:val="(%1)"/>
      <w:numFmt w:val="decimal"/>
      <w:start w:val="3"/>
    </w:lvl>
  </w:abstractNum>
  <w:abstractNum w:abstractNumId="64">
    <w:nsid w:val="4F97E3E4"/>
    <w:multiLevelType w:val="hybridMultilevel"/>
    <w:lvl w:ilvl="0">
      <w:lvlJc w:val="left"/>
      <w:lvlText w:val="%1."/>
      <w:numFmt w:val="decimal"/>
      <w:start w:val="1"/>
    </w:lvl>
  </w:abstractNum>
  <w:abstractNum w:abstractNumId="65">
    <w:nsid w:val="53B0A9E"/>
    <w:multiLevelType w:val="hybridMultilevel"/>
    <w:lvl w:ilvl="0">
      <w:lvlJc w:val="left"/>
      <w:lvlText w:val="+"/>
      <w:numFmt w:val="bullet"/>
      <w:start w:val="1"/>
    </w:lvl>
  </w:abstractNum>
  <w:abstractNum w:abstractNumId="66">
    <w:nsid w:val="34FD6B4F"/>
    <w:multiLevelType w:val="hybridMultilevel"/>
    <w:lvl w:ilvl="0">
      <w:lvlJc w:val="left"/>
      <w:lvlText w:val="+"/>
      <w:numFmt w:val="bullet"/>
      <w:start w:val="1"/>
    </w:lvl>
  </w:abstractNum>
  <w:abstractNum w:abstractNumId="67">
    <w:nsid w:val="5915FF32"/>
    <w:multiLevelType w:val="hybridMultilevel"/>
    <w:lvl w:ilvl="0">
      <w:lvlJc w:val="left"/>
      <w:lvlText w:val="#"/>
      <w:numFmt w:val="bullet"/>
      <w:start w:val="1"/>
    </w:lvl>
  </w:abstractNum>
  <w:abstractNum w:abstractNumId="68">
    <w:nsid w:val="56438D15"/>
    <w:multiLevelType w:val="hybridMultilevel"/>
    <w:lvl w:ilvl="0">
      <w:lvlJc w:val="left"/>
      <w:lvlText w:val="#"/>
      <w:numFmt w:val="bullet"/>
      <w:start w:val="1"/>
    </w:lvl>
  </w:abstractNum>
  <w:abstractNum w:abstractNumId="69">
    <w:nsid w:val="519E3149"/>
    <w:multiLevelType w:val="hybridMultilevel"/>
    <w:lvl w:ilvl="0">
      <w:lvlJc w:val="left"/>
      <w:lvlText w:val="*"/>
      <w:numFmt w:val="bullet"/>
      <w:start w:val="1"/>
    </w:lvl>
  </w:abstractNum>
  <w:abstractNum w:abstractNumId="70">
    <w:nsid w:val="2C6E4AFD"/>
    <w:multiLevelType w:val="hybridMultilevel"/>
    <w:lvl w:ilvl="0">
      <w:lvlJc w:val="left"/>
      <w:lvlText w:val="*"/>
      <w:numFmt w:val="bullet"/>
      <w:start w:val="1"/>
    </w:lvl>
  </w:abstractNum>
  <w:abstractNum w:abstractNumId="71">
    <w:nsid w:val="17A1B582"/>
    <w:multiLevelType w:val="hybridMultilevel"/>
    <w:lvl w:ilvl="0">
      <w:lvlJc w:val="left"/>
      <w:lvlText w:val="#"/>
      <w:numFmt w:val="bullet"/>
      <w:start w:val="1"/>
    </w:lvl>
  </w:abstractNum>
  <w:abstractNum w:abstractNumId="72">
    <w:nsid w:val="4DF72E4E"/>
    <w:multiLevelType w:val="hybridMultilevel"/>
    <w:lvl w:ilvl="0">
      <w:lvlJc w:val="left"/>
      <w:lvlText w:val="@"/>
      <w:numFmt w:val="bullet"/>
      <w:start w:val="1"/>
    </w:lvl>
  </w:abstractNum>
  <w:abstractNum w:abstractNumId="73">
    <w:nsid w:val="5046B5A9"/>
    <w:multiLevelType w:val="hybridMultilevel"/>
    <w:lvl w:ilvl="0">
      <w:lvlJc w:val="left"/>
      <w:lvlText w:val="+"/>
      <w:numFmt w:val="bullet"/>
      <w:start w:val="1"/>
    </w:lvl>
  </w:abstractNum>
  <w:abstractNum w:abstractNumId="74">
    <w:nsid w:val="5D888A08"/>
    <w:multiLevelType w:val="hybridMultilevel"/>
    <w:lvl w:ilvl="0">
      <w:lvlJc w:val="left"/>
      <w:lvlText w:val="%1."/>
      <w:numFmt w:val="upperLetter"/>
      <w:start w:val="1"/>
    </w:lvl>
  </w:abstractNum>
  <w:abstractNum w:abstractNumId="75">
    <w:nsid w:val="2A082C70"/>
    <w:multiLevelType w:val="hybridMultilevel"/>
    <w:lvl w:ilvl="0">
      <w:lvlJc w:val="left"/>
      <w:lvlText w:val="%1."/>
      <w:numFmt w:val="upperLetter"/>
      <w:start w:val="2"/>
    </w:lvl>
    <w:lvl w:ilvl="1">
      <w:lvlJc w:val="left"/>
      <w:lvlText w:val="(%2)"/>
      <w:numFmt w:val="decimal"/>
      <w:start w:val="1"/>
    </w:lvl>
  </w:abstractNum>
  <w:abstractNum w:abstractNumId="76">
    <w:nsid w:val="5EC6AFD4"/>
    <w:multiLevelType w:val="hybridMultilevel"/>
    <w:lvl w:ilvl="0">
      <w:lvlJc w:val="left"/>
      <w:lvlText w:val="(%1)"/>
      <w:numFmt w:val="decimal"/>
      <w:start w:val="3"/>
    </w:lvl>
  </w:abstractNum>
  <w:abstractNum w:abstractNumId="77">
    <w:nsid w:val="19E21BB2"/>
    <w:multiLevelType w:val="hybridMultilevel"/>
    <w:lvl w:ilvl="0">
      <w:lvlJc w:val="left"/>
      <w:lvlText w:val="●"/>
      <w:numFmt w:val="bullet"/>
      <w:start w:val="1"/>
    </w:lvl>
  </w:abstractNum>
  <w:abstractNum w:abstractNumId="78">
    <w:nsid w:val="75E0858A"/>
    <w:multiLevelType w:val="hybridMultilevel"/>
    <w:lvl w:ilvl="0">
      <w:lvlJc w:val="left"/>
      <w:lvlText w:val="●"/>
      <w:numFmt w:val="bullet"/>
      <w:start w:val="1"/>
    </w:lvl>
  </w:abstractNum>
  <w:abstractNum w:abstractNumId="79">
    <w:nsid w:val="57A61A29"/>
    <w:multiLevelType w:val="hybridMultilevel"/>
    <w:lvl w:ilvl="0">
      <w:lvlJc w:val="left"/>
      <w:lvlText w:val="(%1)"/>
      <w:numFmt w:val="decimal"/>
      <w:start w:val="4"/>
    </w:lvl>
    <w:lvl w:ilvl="1">
      <w:lvlJc w:val="left"/>
      <w:lvlText w:val="(%2)"/>
      <w:numFmt w:val="decimal"/>
      <w:start w:val="5"/>
    </w:lvl>
  </w:abstractNum>
  <w:abstractNum w:abstractNumId="80">
    <w:nsid w:val="5399C654"/>
    <w:multiLevelType w:val="hybridMultilevel"/>
    <w:lvl w:ilvl="0">
      <w:lvlJc w:val="left"/>
      <w:lvlText w:val="(%1)"/>
      <w:numFmt w:val="decimal"/>
      <w:start w:val="6"/>
    </w:lvl>
    <w:lvl w:ilvl="1">
      <w:lvlJc w:val="left"/>
      <w:lvlText w:val="(%2)"/>
      <w:numFmt w:val="decimal"/>
      <w:start w:val="9"/>
    </w:lvl>
  </w:abstractNum>
  <w:abstractNum w:abstractNumId="81">
    <w:nsid w:val="20EE1348"/>
    <w:multiLevelType w:val="hybridMultilevel"/>
    <w:lvl w:ilvl="0">
      <w:lvlJc w:val="left"/>
      <w:lvlText w:val="(%1)"/>
      <w:numFmt w:val="decimal"/>
      <w:start w:val="11"/>
    </w:lvl>
  </w:abstractNum>
  <w:abstractNum w:abstractNumId="82">
    <w:nsid w:val="4427069A"/>
    <w:multiLevelType w:val="hybridMultilevel"/>
    <w:lvl w:ilvl="0">
      <w:lvlJc w:val="left"/>
      <w:lvlText w:val="(%1)"/>
      <w:numFmt w:val="decimal"/>
      <w:start w:val="12"/>
    </w:lvl>
  </w:abstractNum>
  <w:abstractNum w:abstractNumId="83">
    <w:nsid w:val="B37E80A"/>
    <w:multiLevelType w:val="hybridMultilevel"/>
    <w:lvl w:ilvl="0">
      <w:lvlJc w:val="left"/>
      <w:lvlText w:val="(%1)"/>
      <w:numFmt w:val="decimal"/>
      <w:start w:val="13"/>
    </w:lvl>
  </w:abstractNum>
  <w:abstractNum w:abstractNumId="84">
    <w:nsid w:val="2157F6BC"/>
    <w:multiLevelType w:val="hybridMultilevel"/>
    <w:lvl w:ilvl="0">
      <w:lvlJc w:val="left"/>
      <w:lvlText w:val="(%1)"/>
      <w:numFmt w:val="decimal"/>
      <w:start w:val="17"/>
    </w:lvl>
  </w:abstractNum>
  <w:abstractNum w:abstractNumId="85">
    <w:nsid w:val="704E1DD5"/>
    <w:multiLevelType w:val="hybridMultilevel"/>
    <w:lvl w:ilvl="0">
      <w:lvlJc w:val="left"/>
      <w:lvlText w:val="(%1)"/>
      <w:numFmt w:val="decimal"/>
      <w:start w:val="18"/>
    </w:lvl>
  </w:abstractNum>
  <w:abstractNum w:abstractNumId="86">
    <w:nsid w:val="57D2F10E"/>
    <w:multiLevelType w:val="hybridMultilevel"/>
    <w:lvl w:ilvl="0">
      <w:lvlJc w:val="left"/>
      <w:lvlText w:val="%1."/>
      <w:numFmt w:val="upperLetter"/>
      <w:start w:val="3"/>
    </w:lvl>
  </w:abstractNum>
  <w:abstractNum w:abstractNumId="87">
    <w:nsid w:val="BFFAE18"/>
    <w:multiLevelType w:val="hybridMultilevel"/>
    <w:lvl w:ilvl="0">
      <w:lvlJc w:val="left"/>
      <w:lvlText w:val="$"/>
      <w:numFmt w:val="bullet"/>
      <w:start w:val="1"/>
    </w:lvl>
  </w:abstractNum>
  <w:abstractNum w:abstractNumId="88">
    <w:nsid w:val="E3E47A8"/>
    <w:multiLevelType w:val="hybridMultilevel"/>
    <w:lvl w:ilvl="0">
      <w:lvlJc w:val="left"/>
      <w:lvlText w:val="$"/>
      <w:numFmt w:val="bullet"/>
      <w:start w:val="1"/>
    </w:lvl>
  </w:abstractNum>
  <w:abstractNum w:abstractNumId="89">
    <w:nsid w:val="2E48F044"/>
    <w:multiLevelType w:val="hybridMultilevel"/>
    <w:lvl w:ilvl="0">
      <w:lvlJc w:val="left"/>
      <w:lvlText w:val="$"/>
      <w:numFmt w:val="bullet"/>
      <w:start w:val="1"/>
    </w:lvl>
  </w:abstractNum>
  <w:abstractNum w:abstractNumId="90">
    <w:nsid w:val="49D0FEAC"/>
    <w:multiLevelType w:val="hybridMultilevel"/>
    <w:lvl w:ilvl="0">
      <w:lvlJc w:val="left"/>
      <w:lvlText w:val="$"/>
      <w:numFmt w:val="bullet"/>
      <w:start w:val="1"/>
    </w:lvl>
  </w:abstractNum>
  <w:abstractNum w:abstractNumId="91">
    <w:nsid w:val="4BEE5A5B"/>
    <w:multiLevelType w:val="hybridMultilevel"/>
    <w:lvl w:ilvl="0">
      <w:lvlJc w:val="left"/>
      <w:lvlText w:val="$"/>
      <w:numFmt w:val="bullet"/>
      <w:start w:val="1"/>
    </w:lvl>
  </w:abstractNum>
  <w:abstractNum w:abstractNumId="92">
    <w:nsid w:val="5551B9F3"/>
    <w:multiLevelType w:val="hybridMultilevel"/>
    <w:lvl w:ilvl="0">
      <w:lvlJc w:val="left"/>
      <w:lvlText w:val="$"/>
      <w:numFmt w:val="bullet"/>
      <w:start w:val="1"/>
    </w:lvl>
  </w:abstractNum>
  <w:abstractNum w:abstractNumId="93">
    <w:nsid w:val="24F6AB8E"/>
    <w:multiLevelType w:val="hybridMultilevel"/>
    <w:lvl w:ilvl="0">
      <w:lvlJc w:val="left"/>
      <w:lvlText w:val="$"/>
      <w:numFmt w:val="bullet"/>
      <w:start w:val="1"/>
    </w:lvl>
  </w:abstractNum>
  <w:abstractNum w:abstractNumId="94">
    <w:nsid w:val="634C574C"/>
    <w:multiLevelType w:val="hybridMultilevel"/>
    <w:lvl w:ilvl="0">
      <w:lvlJc w:val="left"/>
      <w:lvlText w:val="(%1)"/>
      <w:numFmt w:val="lowerLetter"/>
      <w:start w:val="1"/>
    </w:lvl>
  </w:abstractNum>
  <w:abstractNum w:abstractNumId="95">
    <w:nsid w:val="24E99DD7"/>
    <w:multiLevelType w:val="hybridMultilevel"/>
    <w:lvl w:ilvl="0">
      <w:lvlJc w:val="left"/>
      <w:lvlText w:val="●"/>
      <w:numFmt w:val="bullet"/>
      <w:start w:val="1"/>
    </w:lvl>
  </w:abstractNum>
  <w:abstractNum w:abstractNumId="96">
    <w:nsid w:val="2A31B62D"/>
    <w:multiLevelType w:val="hybridMultilevel"/>
    <w:lvl w:ilvl="0">
      <w:lvlJc w:val="left"/>
      <w:lvlText w:val="●"/>
      <w:numFmt w:val="bullet"/>
      <w:start w:val="1"/>
    </w:lvl>
  </w:abstractNum>
  <w:abstractNum w:abstractNumId="97">
    <w:nsid w:val="1849C29B"/>
    <w:multiLevelType w:val="hybridMultilevel"/>
    <w:lvl w:ilvl="0">
      <w:lvlJc w:val="left"/>
      <w:lvlText w:val="●"/>
      <w:numFmt w:val="bullet"/>
      <w:start w:val="1"/>
    </w:lvl>
  </w:abstractNum>
  <w:abstractNum w:abstractNumId="98">
    <w:nsid w:val="7DFF9D09"/>
    <w:multiLevelType w:val="hybridMultilevel"/>
    <w:lvl w:ilvl="0">
      <w:lvlJc w:val="left"/>
      <w:lvlText w:val="%1."/>
      <w:numFmt w:val="upperLetter"/>
      <w:start w:val="5"/>
    </w:lvl>
  </w:abstractNum>
  <w:abstractNum w:abstractNumId="99">
    <w:nsid w:val="754342"/>
    <w:multiLevelType w:val="hybridMultilevel"/>
    <w:lvl w:ilvl="0">
      <w:lvlJc w:val="left"/>
      <w:lvlText w:val="%1."/>
      <w:numFmt w:val="upperLetter"/>
      <w:start w:val="6"/>
    </w:lvl>
  </w:abstractNum>
  <w:abstractNum w:abstractNumId="100">
    <w:nsid w:val="69E7F3E5"/>
    <w:multiLevelType w:val="hybridMultilevel"/>
    <w:lvl w:ilvl="0">
      <w:lvlJc w:val="left"/>
      <w:lvlText w:val="(%1)"/>
      <w:numFmt w:val="decimal"/>
      <w:start w:val="1"/>
    </w:lvl>
  </w:abstractNum>
  <w:abstractNum w:abstractNumId="101">
    <w:nsid w:val="2A6DE806"/>
    <w:multiLevelType w:val="hybridMultilevel"/>
    <w:lvl w:ilvl="0">
      <w:lvlJc w:val="left"/>
      <w:lvlText w:val="%1."/>
      <w:numFmt w:val="upperLetter"/>
      <w:start w:val="7"/>
    </w:lvl>
  </w:abstractNum>
  <w:abstractNum w:abstractNumId="102">
    <w:nsid w:val="1816F8C4"/>
    <w:multiLevelType w:val="hybridMultilevel"/>
    <w:lvl w:ilvl="0">
      <w:lvlJc w:val="left"/>
      <w:lvlText w:val="%1."/>
      <w:numFmt w:val="upperLetter"/>
      <w:start w:val="8"/>
    </w:lvl>
  </w:abstractNum>
  <w:abstractNum w:abstractNumId="103">
    <w:nsid w:val="37DF2233"/>
    <w:multiLevelType w:val="hybridMultilevel"/>
    <w:lvl w:ilvl="0">
      <w:lvlJc w:val="left"/>
      <w:lvlText w:val="(%1)"/>
      <w:numFmt w:val="decimal"/>
      <w:start w:val="1"/>
    </w:lvl>
  </w:abstractNum>
  <w:abstractNum w:abstractNumId="104">
    <w:nsid w:val="7AB49DAF"/>
    <w:multiLevelType w:val="hybridMultilevel"/>
    <w:lvl w:ilvl="0">
      <w:lvlJc w:val="left"/>
      <w:lvlText w:val="(%1)"/>
      <w:numFmt w:val="decimal"/>
      <w:start w:val="4"/>
    </w:lvl>
  </w:abstractNum>
  <w:abstractNum w:abstractNumId="105">
    <w:nsid w:val="759F82CD"/>
    <w:multiLevelType w:val="hybridMultilevel"/>
    <w:lvl w:ilvl="0">
      <w:lvlJc w:val="left"/>
      <w:lvlText w:val="%1."/>
      <w:numFmt w:val="upperLetter"/>
      <w:start w:val="10"/>
    </w:lvl>
  </w:abstractNum>
  <w:abstractNum w:abstractNumId="106">
    <w:nsid w:val="61E74EA3"/>
    <w:multiLevelType w:val="hybridMultilevel"/>
    <w:lvl w:ilvl="0">
      <w:lvlJc w:val="left"/>
      <w:lvlText w:val="(%1)"/>
      <w:numFmt w:val="decimal"/>
      <w:start w:val="1"/>
    </w:lvl>
  </w:abstractNum>
  <w:abstractNum w:abstractNumId="107">
    <w:nsid w:val="597B4D84"/>
    <w:multiLevelType w:val="hybridMultilevel"/>
    <w:lvl w:ilvl="0">
      <w:lvlJc w:val="left"/>
      <w:lvlText w:val="%1."/>
      <w:numFmt w:val="upperLetter"/>
      <w:start w:val="11"/>
    </w:lvl>
  </w:abstractNum>
  <w:abstractNum w:abstractNumId="108">
    <w:nsid w:val="F819E7F"/>
    <w:multiLevelType w:val="hybridMultilevel"/>
    <w:lvl w:ilvl="0">
      <w:lvlJc w:val="left"/>
      <w:lvlText w:val="(%1)"/>
      <w:numFmt w:val="decimal"/>
      <w:start w:val="1"/>
    </w:lvl>
  </w:abstractNum>
  <w:abstractNum w:abstractNumId="109">
    <w:nsid w:val="57C7D42D"/>
    <w:multiLevelType w:val="hybridMultilevel"/>
    <w:lvl w:ilvl="0">
      <w:lvlJc w:val="left"/>
      <w:lvlText w:val="%1."/>
      <w:numFmt w:val="upperLetter"/>
      <w:start w:val="12"/>
    </w:lvl>
  </w:abstractNum>
  <w:abstractNum w:abstractNumId="110">
    <w:nsid w:val="312167AD"/>
    <w:multiLevelType w:val="hybridMultilevel"/>
    <w:lvl w:ilvl="0">
      <w:lvlJc w:val="left"/>
      <w:lvlText w:val="%1."/>
      <w:numFmt w:val="upperLetter"/>
      <w:start w:val="13"/>
    </w:lvl>
  </w:abstractNum>
  <w:abstractNum w:abstractNumId="111">
    <w:nsid w:val="631B64D4"/>
    <w:multiLevelType w:val="hybridMultilevel"/>
    <w:lvl w:ilvl="0">
      <w:lvlJc w:val="left"/>
      <w:lvlText w:val="%1."/>
      <w:numFmt w:val="upperLetter"/>
      <w:start w:val="14"/>
    </w:lvl>
  </w:abstractNum>
  <w:abstractNum w:abstractNumId="112">
    <w:nsid w:val="78B5E776"/>
    <w:multiLevelType w:val="hybridMultilevel"/>
    <w:lvl w:ilvl="0">
      <w:lvlJc w:val="left"/>
      <w:lvlText w:val="%1."/>
      <w:numFmt w:val="upperLetter"/>
      <w:start w:val="15"/>
    </w:lvl>
  </w:abstractNum>
  <w:abstractNum w:abstractNumId="113">
    <w:nsid w:val="75486E47"/>
    <w:multiLevelType w:val="hybridMultilevel"/>
    <w:lvl w:ilvl="0">
      <w:lvlJc w:val="left"/>
      <w:lvlText w:val="%1."/>
      <w:numFmt w:val="upperLetter"/>
      <w:start w:val="16"/>
    </w:lvl>
  </w:abstractNum>
  <w:abstractNum w:abstractNumId="114">
    <w:nsid w:val="6E534CDE"/>
    <w:multiLevelType w:val="hybridMultilevel"/>
    <w:lvl w:ilvl="0">
      <w:lvlJc w:val="left"/>
      <w:lvlText w:val="%1."/>
      <w:numFmt w:val="upperLetter"/>
      <w:start w:val="17"/>
    </w:lvl>
  </w:abstractNum>
  <w:abstractNum w:abstractNumId="115">
    <w:nsid w:val="1A0DDE32"/>
    <w:multiLevelType w:val="hybridMultilevel"/>
    <w:lvl w:ilvl="0">
      <w:lvlJc w:val="left"/>
      <w:lvlText w:val="%1."/>
      <w:numFmt w:val="upperLetter"/>
      <w:start w:val="18"/>
    </w:lvl>
  </w:abstractNum>
  <w:abstractNum w:abstractNumId="116">
    <w:nsid w:val="65968C1C"/>
    <w:multiLevelType w:val="hybridMultilevel"/>
    <w:lvl w:ilvl="0">
      <w:lvlJc w:val="left"/>
      <w:lvlText w:val="(%1)"/>
      <w:numFmt w:val="lowerLetter"/>
      <w:start w:val="1"/>
    </w:lvl>
  </w:abstractNum>
  <w:abstractNum w:abstractNumId="117">
    <w:nsid w:val="46263DEC"/>
    <w:multiLevelType w:val="hybridMultilevel"/>
    <w:lvl w:ilvl="0">
      <w:lvlJc w:val="left"/>
      <w:lvlText w:val="%1."/>
      <w:numFmt w:val="upperLetter"/>
      <w:start w:val="19"/>
    </w:lvl>
  </w:abstractNum>
  <w:abstractNum w:abstractNumId="118">
    <w:nsid w:val="260D8C4A"/>
    <w:multiLevelType w:val="hybridMultilevel"/>
    <w:lvl w:ilvl="0">
      <w:lvlJc w:val="left"/>
      <w:lvlText w:val="%1."/>
      <w:numFmt w:val="upperLetter"/>
      <w:start w:val="1"/>
    </w:lvl>
  </w:abstractNum>
  <w:abstractNum w:abstractNumId="119">
    <w:nsid w:val="73D4D3C4"/>
    <w:multiLevelType w:val="hybridMultilevel"/>
    <w:lvl w:ilvl="0">
      <w:lvlJc w:val="left"/>
      <w:lvlText w:val="%1."/>
      <w:numFmt w:val="upperLetter"/>
      <w:start w:val="2"/>
    </w:lvl>
  </w:abstractNum>
  <w:abstractNum w:abstractNumId="120">
    <w:nsid w:val="746F2E30"/>
    <w:multiLevelType w:val="hybridMultilevel"/>
    <w:lvl w:ilvl="0">
      <w:lvlJc w:val="left"/>
      <w:lvlText w:val="%1."/>
      <w:numFmt w:val="upperLetter"/>
      <w:start w:val="3"/>
    </w:lvl>
  </w:abstractNum>
  <w:abstractNum w:abstractNumId="121">
    <w:nsid w:val="6FDE8AF6"/>
    <w:multiLevelType w:val="hybridMultilevel"/>
    <w:lvl w:ilvl="0">
      <w:lvlJc w:val="left"/>
      <w:lvlText w:val="%1."/>
      <w:numFmt w:val="upperLetter"/>
      <w:start w:val="4"/>
    </w:lvl>
  </w:abstractNum>
  <w:abstractNum w:abstractNumId="122">
    <w:nsid w:val="3FC32E20"/>
    <w:multiLevelType w:val="hybridMultilevel"/>
    <w:lvl w:ilvl="0">
      <w:lvlJc w:val="left"/>
      <w:lvlText w:val="%1."/>
      <w:numFmt w:val="upperLetter"/>
      <w:start w:val="1"/>
    </w:lvl>
  </w:abstractNum>
  <w:abstractNum w:abstractNumId="123">
    <w:nsid w:val="49C0E823"/>
    <w:multiLevelType w:val="hybridMultilevel"/>
    <w:lvl w:ilvl="0">
      <w:lvlJc w:val="left"/>
      <w:lvlText w:val="%1."/>
      <w:numFmt w:val="upperLetter"/>
      <w:start w:val="2"/>
    </w:lvl>
    <w:lvl w:ilvl="1">
      <w:lvlJc w:val="left"/>
      <w:lvlText w:val="(%2)"/>
      <w:numFmt w:val="decimal"/>
      <w:start w:val="1"/>
    </w:lvl>
  </w:abstractNum>
  <w:abstractNum w:abstractNumId="124">
    <w:nsid w:val="14D53685"/>
    <w:multiLevelType w:val="hybridMultilevel"/>
    <w:lvl w:ilvl="0">
      <w:lvlJc w:val="left"/>
      <w:lvlText w:val="(%1)"/>
      <w:numFmt w:val="decimal"/>
      <w:start w:val="3"/>
    </w:lvl>
    <w:lvl w:ilvl="1">
      <w:lvlJc w:val="left"/>
      <w:lvlText w:val="●"/>
      <w:numFmt w:val="bullet"/>
      <w:start w:val="1"/>
    </w:lvl>
  </w:abstractNum>
  <w:abstractNum w:abstractNumId="125">
    <w:nsid w:val="230F856C"/>
    <w:multiLevelType w:val="hybridMultilevel"/>
    <w:lvl w:ilvl="0">
      <w:lvlJc w:val="left"/>
      <w:lvlText w:val="(%1)"/>
      <w:numFmt w:val="decimal"/>
      <w:start w:val="5"/>
    </w:lvl>
  </w:abstractNum>
  <w:abstractNum w:abstractNumId="126">
    <w:nsid w:val="6EAA85FB"/>
    <w:multiLevelType w:val="hybridMultilevel"/>
    <w:lvl w:ilvl="0">
      <w:lvlJc w:val="left"/>
      <w:lvlText w:val="(%1)"/>
      <w:numFmt w:val="decimal"/>
      <w:start w:val="11"/>
    </w:lvl>
  </w:abstractNum>
  <w:abstractNum w:abstractNumId="127">
    <w:nsid w:val="3F06ECB2"/>
    <w:multiLevelType w:val="hybridMultilevel"/>
    <w:lvl w:ilvl="0">
      <w:lvlJc w:val="left"/>
      <w:lvlText w:val="(%1)"/>
      <w:numFmt w:val="decimal"/>
      <w:start w:val="12"/>
    </w:lvl>
  </w:abstractNum>
  <w:abstractNum w:abstractNumId="128">
    <w:nsid w:val="3B594807"/>
    <w:multiLevelType w:val="hybridMultilevel"/>
    <w:lvl w:ilvl="0">
      <w:lvlJc w:val="left"/>
      <w:lvlText w:val="(%1)"/>
      <w:numFmt w:val="decimal"/>
      <w:start w:val="13"/>
    </w:lvl>
  </w:abstractNum>
  <w:abstractNum w:abstractNumId="129">
    <w:nsid w:val="6CAA2304"/>
    <w:multiLevelType w:val="hybridMultilevel"/>
    <w:lvl w:ilvl="0">
      <w:lvlJc w:val="left"/>
      <w:lvlText w:val="(%1)"/>
      <w:numFmt w:val="decimal"/>
      <w:start w:val="17"/>
    </w:lvl>
  </w:abstractNum>
  <w:abstractNum w:abstractNumId="130">
    <w:nsid w:val="3F7C2FF4"/>
    <w:multiLevelType w:val="hybridMultilevel"/>
    <w:lvl w:ilvl="0">
      <w:lvlJc w:val="left"/>
      <w:lvlText w:val="(%1)"/>
      <w:numFmt w:val="decimal"/>
      <w:start w:val="18"/>
    </w:lvl>
  </w:abstractNum>
  <w:abstractNum w:abstractNumId="131">
    <w:nsid w:val="25413BEC"/>
    <w:multiLevelType w:val="hybridMultilevel"/>
    <w:lvl w:ilvl="0">
      <w:lvlJc w:val="left"/>
      <w:lvlText w:val="%1."/>
      <w:numFmt w:val="upperLetter"/>
      <w:start w:val="3"/>
    </w:lvl>
  </w:abstractNum>
  <w:abstractNum w:abstractNumId="132">
    <w:nsid w:val="17180B0B"/>
    <w:multiLevelType w:val="hybridMultilevel"/>
    <w:lvl w:ilvl="0">
      <w:lvlJc w:val="left"/>
      <w:lvlText w:val="$"/>
      <w:numFmt w:val="bullet"/>
      <w:start w:val="1"/>
    </w:lvl>
  </w:abstractNum>
  <w:abstractNum w:abstractNumId="133">
    <w:nsid w:val="579328B9"/>
    <w:multiLevelType w:val="hybridMultilevel"/>
    <w:lvl w:ilvl="0">
      <w:lvlJc w:val="left"/>
      <w:lvlText w:val="$"/>
      <w:numFmt w:val="bullet"/>
      <w:start w:val="1"/>
    </w:lvl>
  </w:abstractNum>
  <w:abstractNum w:abstractNumId="134">
    <w:nsid w:val="5D205E20"/>
    <w:multiLevelType w:val="hybridMultilevel"/>
    <w:lvl w:ilvl="0">
      <w:lvlJc w:val="left"/>
      <w:lvlText w:val="$"/>
      <w:numFmt w:val="bullet"/>
      <w:start w:val="1"/>
    </w:lvl>
  </w:abstractNum>
  <w:abstractNum w:abstractNumId="135">
    <w:nsid w:val="11CCA8BA"/>
    <w:multiLevelType w:val="hybridMultilevel"/>
    <w:lvl w:ilvl="0">
      <w:lvlJc w:val="left"/>
      <w:lvlText w:val="$"/>
      <w:numFmt w:val="bullet"/>
      <w:start w:val="1"/>
    </w:lvl>
  </w:abstractNum>
  <w:abstractNum w:abstractNumId="136">
    <w:nsid w:val="4D32AB86"/>
    <w:multiLevelType w:val="hybridMultilevel"/>
    <w:lvl w:ilvl="0">
      <w:lvlJc w:val="left"/>
      <w:lvlText w:val="$"/>
      <w:numFmt w:val="bullet"/>
      <w:start w:val="1"/>
    </w:lvl>
  </w:abstractNum>
  <w:abstractNum w:abstractNumId="137">
    <w:nsid w:val="3F07ACC3"/>
    <w:multiLevelType w:val="hybridMultilevel"/>
    <w:lvl w:ilvl="0">
      <w:lvlJc w:val="left"/>
      <w:lvlText w:val="$"/>
      <w:numFmt w:val="bullet"/>
      <w:start w:val="1"/>
    </w:lvl>
  </w:abstractNum>
  <w:abstractNum w:abstractNumId="138">
    <w:nsid w:val="6B47F63E"/>
    <w:multiLevelType w:val="hybridMultilevel"/>
    <w:lvl w:ilvl="0">
      <w:lvlJc w:val="left"/>
      <w:lvlText w:val="$"/>
      <w:numFmt w:val="bullet"/>
      <w:start w:val="1"/>
    </w:lvl>
  </w:abstractNum>
  <w:abstractNum w:abstractNumId="139">
    <w:nsid w:val="5CB44A05"/>
    <w:multiLevelType w:val="hybridMultilevel"/>
    <w:lvl w:ilvl="0">
      <w:lvlJc w:val="left"/>
      <w:lvlText w:val="(%1)"/>
      <w:numFmt w:val="lowerLetter"/>
      <w:start w:val="1"/>
    </w:lvl>
  </w:abstractNum>
  <w:abstractNum w:abstractNumId="140">
    <w:nsid w:val="16CF80F1"/>
    <w:multiLevelType w:val="hybridMultilevel"/>
    <w:lvl w:ilvl="0">
      <w:lvlJc w:val="left"/>
      <w:lvlText w:val="%1."/>
      <w:numFmt w:val="upperLetter"/>
      <w:start w:val="4"/>
    </w:lvl>
  </w:abstractNum>
  <w:abstractNum w:abstractNumId="141">
    <w:nsid w:val="1C695DEC"/>
    <w:multiLevelType w:val="hybridMultilevel"/>
    <w:lvl w:ilvl="0">
      <w:lvlJc w:val="left"/>
      <w:lvlText w:val="●"/>
      <w:numFmt w:val="bullet"/>
      <w:start w:val="1"/>
    </w:lvl>
  </w:abstractNum>
  <w:abstractNum w:abstractNumId="142">
    <w:nsid w:val="3FCFAED9"/>
    <w:multiLevelType w:val="hybridMultilevel"/>
    <w:lvl w:ilvl="0">
      <w:lvlJc w:val="left"/>
      <w:lvlText w:val="●"/>
      <w:numFmt w:val="bullet"/>
      <w:start w:val="1"/>
    </w:lvl>
  </w:abstractNum>
  <w:abstractNum w:abstractNumId="143">
    <w:nsid w:val="F856867"/>
    <w:multiLevelType w:val="hybridMultilevel"/>
    <w:lvl w:ilvl="0">
      <w:lvlJc w:val="left"/>
      <w:lvlText w:val="●"/>
      <w:numFmt w:val="bullet"/>
      <w:start w:val="1"/>
    </w:lvl>
  </w:abstractNum>
  <w:abstractNum w:abstractNumId="144">
    <w:nsid w:val="11B1CC33"/>
    <w:multiLevelType w:val="hybridMultilevel"/>
    <w:lvl w:ilvl="0">
      <w:lvlJc w:val="left"/>
      <w:lvlText w:val="%1."/>
      <w:numFmt w:val="upperLetter"/>
      <w:start w:val="5"/>
    </w:lvl>
  </w:abstractNum>
  <w:abstractNum w:abstractNumId="145">
    <w:nsid w:val="2E22FBB7"/>
    <w:multiLevelType w:val="hybridMultilevel"/>
    <w:lvl w:ilvl="0">
      <w:lvlJc w:val="left"/>
      <w:lvlText w:val="%1."/>
      <w:numFmt w:val="upperLetter"/>
      <w:start w:val="6"/>
    </w:lvl>
  </w:abstractNum>
  <w:abstractNum w:abstractNumId="146">
    <w:nsid w:val="29934699"/>
    <w:multiLevelType w:val="hybridMultilevel"/>
    <w:lvl w:ilvl="0">
      <w:lvlJc w:val="left"/>
      <w:lvlText w:val="(%1)"/>
      <w:numFmt w:val="decimal"/>
      <w:start w:val="1"/>
    </w:lvl>
  </w:abstractNum>
  <w:abstractNum w:abstractNumId="147">
    <w:nsid w:val="77485850"/>
    <w:multiLevelType w:val="hybridMultilevel"/>
    <w:lvl w:ilvl="0">
      <w:lvlJc w:val="left"/>
      <w:lvlText w:val="%1."/>
      <w:numFmt w:val="upperLetter"/>
      <w:start w:val="7"/>
    </w:lvl>
  </w:abstractNum>
  <w:abstractNum w:abstractNumId="148">
    <w:nsid w:val="744939A3"/>
    <w:multiLevelType w:val="hybridMultilevel"/>
    <w:lvl w:ilvl="0">
      <w:lvlJc w:val="left"/>
      <w:lvlText w:val="%1."/>
      <w:numFmt w:val="upperLetter"/>
      <w:start w:val="8"/>
    </w:lvl>
  </w:abstractNum>
  <w:abstractNum w:abstractNumId="149">
    <w:nsid w:val="4FA0D2E3"/>
    <w:multiLevelType w:val="hybridMultilevel"/>
    <w:lvl w:ilvl="0">
      <w:lvlJc w:val="left"/>
      <w:lvlText w:val="%1."/>
      <w:numFmt w:val="upperLetter"/>
      <w:start w:val="9"/>
    </w:lvl>
  </w:abstractNum>
  <w:abstractNum w:abstractNumId="150">
    <w:nsid w:val="6B1D2C14"/>
    <w:multiLevelType w:val="hybridMultilevel"/>
    <w:lvl w:ilvl="0">
      <w:lvlJc w:val="left"/>
      <w:lvlText w:val="(%1)"/>
      <w:numFmt w:val="decimal"/>
      <w:start w:val="1"/>
    </w:lvl>
  </w:abstractNum>
  <w:abstractNum w:abstractNumId="151">
    <w:nsid w:val="68B867D3"/>
    <w:multiLevelType w:val="hybridMultilevel"/>
    <w:lvl w:ilvl="0">
      <w:lvlJc w:val="left"/>
      <w:lvlText w:val="(%1)"/>
      <w:numFmt w:val="decimal"/>
      <w:start w:val="2"/>
    </w:lvl>
  </w:abstractNum>
  <w:abstractNum w:abstractNumId="152">
    <w:nsid w:val="3F7F5DD9"/>
    <w:multiLevelType w:val="hybridMultilevel"/>
    <w:lvl w:ilvl="0">
      <w:lvlJc w:val="left"/>
      <w:lvlText w:val="%1."/>
      <w:numFmt w:val="upperLetter"/>
      <w:start w:val="10"/>
    </w:lvl>
  </w:abstractNum>
  <w:abstractNum w:abstractNumId="153">
    <w:nsid w:val="2AE05A34"/>
    <w:multiLevelType w:val="hybridMultilevel"/>
    <w:lvl w:ilvl="0">
      <w:lvlJc w:val="left"/>
      <w:lvlText w:val="%1."/>
      <w:numFmt w:val="upperLetter"/>
      <w:start w:val="11"/>
    </w:lvl>
  </w:abstractNum>
  <w:abstractNum w:abstractNumId="154">
    <w:nsid w:val="32794FF7"/>
    <w:multiLevelType w:val="hybridMultilevel"/>
    <w:lvl w:ilvl="0">
      <w:lvlJc w:val="left"/>
      <w:lvlText w:val="(%1)"/>
      <w:numFmt w:val="decimal"/>
      <w:start w:val="1"/>
    </w:lvl>
  </w:abstractNum>
  <w:abstractNum w:abstractNumId="155">
    <w:nsid w:val="5454945E"/>
    <w:multiLevelType w:val="hybridMultilevel"/>
    <w:lvl w:ilvl="0">
      <w:lvlJc w:val="left"/>
      <w:lvlText w:val="%1."/>
      <w:numFmt w:val="upperLetter"/>
      <w:start w:val="12"/>
    </w:lvl>
  </w:abstractNum>
  <w:abstractNum w:abstractNumId="156">
    <w:nsid w:val="4DEFDFA0"/>
    <w:multiLevelType w:val="hybridMultilevel"/>
    <w:lvl w:ilvl="0">
      <w:lvlJc w:val="left"/>
      <w:lvlText w:val="%1."/>
      <w:numFmt w:val="upperLetter"/>
      <w:start w:val="14"/>
    </w:lvl>
  </w:abstractNum>
  <w:abstractNum w:abstractNumId="157">
    <w:nsid w:val="2123D5F2"/>
    <w:multiLevelType w:val="hybridMultilevel"/>
    <w:lvl w:ilvl="0">
      <w:lvlJc w:val="left"/>
      <w:lvlText w:val="%1."/>
      <w:numFmt w:val="upperLetter"/>
      <w:start w:val="15"/>
    </w:lvl>
  </w:abstractNum>
  <w:abstractNum w:abstractNumId="158">
    <w:nsid w:val="135B8110"/>
    <w:multiLevelType w:val="hybridMultilevel"/>
    <w:lvl w:ilvl="0">
      <w:lvlJc w:val="left"/>
      <w:lvlText w:val="%1."/>
      <w:numFmt w:val="upperLetter"/>
      <w:start w:val="16"/>
    </w:lvl>
  </w:abstractNum>
  <w:abstractNum w:abstractNumId="159">
    <w:nsid w:val="94927A8"/>
    <w:multiLevelType w:val="hybridMultilevel"/>
    <w:lvl w:ilvl="0">
      <w:lvlJc w:val="left"/>
      <w:lvlText w:val="%1."/>
      <w:numFmt w:val="upperLetter"/>
      <w:start w:val="17"/>
    </w:lvl>
  </w:abstractNum>
  <w:abstractNum w:abstractNumId="160">
    <w:nsid w:val="DCDF8F6"/>
    <w:multiLevelType w:val="hybridMultilevel"/>
    <w:lvl w:ilvl="0">
      <w:lvlJc w:val="left"/>
      <w:lvlText w:val="(%1)"/>
      <w:numFmt w:val="lowerLetter"/>
      <w:start w:val="1"/>
    </w:lvl>
  </w:abstractNum>
  <w:abstractNum w:abstractNumId="161">
    <w:nsid w:val="52D7B105"/>
    <w:multiLevelType w:val="hybridMultilevel"/>
    <w:lvl w:ilvl="0">
      <w:lvlJc w:val="left"/>
      <w:lvlText w:val="%1."/>
      <w:numFmt w:val="upperLetter"/>
      <w:start w:val="18"/>
    </w:lvl>
  </w:abstractNum>
  <w:abstractNum w:abstractNumId="162">
    <w:nsid w:val="2E8A6394"/>
    <w:multiLevelType w:val="hybridMultilevel"/>
    <w:lvl w:ilvl="0">
      <w:lvlJc w:val="left"/>
      <w:lvlText w:val="(%1)"/>
      <w:numFmt w:val="lowerLetter"/>
      <w:start w:val="1"/>
    </w:lvl>
  </w:abstractNum>
  <w:abstractNum w:abstractNumId="163">
    <w:nsid w:val="24E60401"/>
    <w:multiLevelType w:val="hybridMultilevel"/>
    <w:lvl w:ilvl="0">
      <w:lvlJc w:val="left"/>
      <w:lvlText w:val="(%1)"/>
      <w:numFmt w:val="lowerLetter"/>
      <w:start w:val="35"/>
    </w:lvl>
  </w:abstractNum>
  <w:abstractNum w:abstractNumId="164">
    <w:nsid w:val="2A6AD9BE"/>
    <w:multiLevelType w:val="hybridMultilevel"/>
    <w:lvl w:ilvl="0">
      <w:lvlJc w:val="left"/>
      <w:lvlText w:val="%1."/>
      <w:numFmt w:val="upperLetter"/>
      <w:start w:val="1"/>
    </w:lvl>
  </w:abstractNum>
  <w:abstractNum w:abstractNumId="165">
    <w:nsid w:val="BAAC1B4"/>
    <w:multiLevelType w:val="hybridMultilevel"/>
    <w:lvl w:ilvl="0">
      <w:lvlJc w:val="left"/>
      <w:lvlText w:val="%1."/>
      <w:numFmt w:val="upperLetter"/>
      <w:start w:val="2"/>
    </w:lvl>
  </w:abstractNum>
  <w:abstractNum w:abstractNumId="166">
    <w:nsid w:val="36B2ACBC"/>
    <w:multiLevelType w:val="hybridMultilevel"/>
    <w:lvl w:ilvl="0">
      <w:lvlJc w:val="left"/>
      <w:lvlText w:val="(%1)"/>
      <w:numFmt w:val="lowerRoman"/>
      <w:start w:val="3"/>
    </w:lvl>
  </w:abstractNum>
  <w:abstractNum w:abstractNumId="167">
    <w:nsid w:val="779D8544"/>
    <w:multiLevelType w:val="hybridMultilevel"/>
    <w:lvl w:ilvl="0">
      <w:lvlJc w:val="left"/>
      <w:lvlText w:val="%1."/>
      <w:numFmt w:val="upperLetter"/>
      <w:start w:val="3"/>
    </w:lvl>
  </w:abstractNum>
  <w:abstractNum w:abstractNumId="168">
    <w:nsid w:val="4AB26E78"/>
    <w:multiLevelType w:val="hybridMultilevel"/>
    <w:lvl w:ilvl="0">
      <w:lvlJc w:val="left"/>
      <w:lvlText w:val="%1."/>
      <w:numFmt w:val="upperLetter"/>
      <w:start w:val="4"/>
    </w:lvl>
  </w:abstractNum>
  <w:abstractNum w:abstractNumId="169">
    <w:nsid w:val="21FAA2FA"/>
    <w:multiLevelType w:val="hybridMultilevel"/>
    <w:lvl w:ilvl="0">
      <w:lvlJc w:val="left"/>
      <w:lvlText w:val="J.%1."/>
      <w:numFmt w:val="upperLetter"/>
      <w:start w:val="10"/>
    </w:lvl>
    <w:lvl w:ilvl="1">
      <w:lvlJc w:val="left"/>
      <w:lvlText w:val="%2"/>
      <w:numFmt w:val="upperLetter"/>
      <w:start w:val="1"/>
    </w:lvl>
    <w:lvl w:ilvl="2">
      <w:lvlJc w:val="left"/>
      <w:lvlText w:val="%3"/>
      <w:numFmt w:val="upperLetter"/>
      <w:start w:val="1"/>
    </w:lvl>
  </w:abstractNum>
  <w:abstractNum w:abstractNumId="170">
    <w:nsid w:val="5451CF49"/>
    <w:multiLevelType w:val="hybridMultilevel"/>
    <w:lvl w:ilvl="0">
      <w:lvlJc w:val="left"/>
      <w:lvlText w:val="%1."/>
      <w:numFmt w:val="decimal"/>
      <w:start w:val="1"/>
    </w:lvl>
    <w:lvl w:ilvl="1">
      <w:lvlJc w:val="left"/>
      <w:lvlText w:val="%2."/>
      <w:numFmt w:val="lowerLetter"/>
      <w:start w:val="1"/>
    </w:lvl>
  </w:abstractNum>
  <w:abstractNum w:abstractNumId="171">
    <w:nsid w:val="6181EF69"/>
    <w:multiLevelType w:val="hybridMultilevel"/>
    <w:lvl w:ilvl="0">
      <w:lvlJc w:val="left"/>
      <w:lvlText w:val="%1."/>
      <w:numFmt w:val="decimal"/>
      <w:start w:val="1"/>
    </w:lvl>
    <w:lvl w:ilvl="1">
      <w:lvlJc w:val="left"/>
      <w:lvlText w:val="%2."/>
      <w:numFmt w:val="lowerLetter"/>
      <w:start w:val="1"/>
    </w:lvl>
  </w:abstractNum>
  <w:abstractNum w:abstractNumId="172">
    <w:nsid w:val="3E6400E6"/>
    <w:multiLevelType w:val="hybridMultilevel"/>
    <w:lvl w:ilvl="0">
      <w:lvlJc w:val="left"/>
      <w:lvlText w:val="%1."/>
      <w:numFmt w:val="decimal"/>
      <w:start w:val="1"/>
    </w:lvl>
    <w:lvl w:ilvl="1">
      <w:lvlJc w:val="left"/>
      <w:lvlText w:val="%2."/>
      <w:numFmt w:val="lowerLetter"/>
      <w:start w:val="1"/>
    </w:lvl>
  </w:abstractNum>
  <w:abstractNum w:abstractNumId="173">
    <w:nsid w:val="14217E23"/>
    <w:multiLevelType w:val="hybridMultilevel"/>
    <w:lvl w:ilvl="0">
      <w:lvlJc w:val="left"/>
      <w:lvlText w:val="%1."/>
      <w:numFmt w:val="decimal"/>
      <w:start w:val="1"/>
    </w:lvl>
    <w:lvl w:ilvl="1">
      <w:lvlJc w:val="left"/>
      <w:lvlText w:val="%2."/>
      <w:numFmt w:val="lowerLetter"/>
      <w:start w:val="1"/>
    </w:lvl>
  </w:abstractNum>
  <w:abstractNum w:abstractNumId="174">
    <w:nsid w:val="710757D0"/>
    <w:multiLevelType w:val="hybridMultilevel"/>
    <w:lvl w:ilvl="0">
      <w:lvlJc w:val="left"/>
      <w:lvlText w:val="%1."/>
      <w:numFmt w:val="decimal"/>
      <w:start w:val="1"/>
    </w:lvl>
    <w:lvl w:ilvl="1">
      <w:lvlJc w:val="left"/>
      <w:lvlText w:val="%2."/>
      <w:numFmt w:val="lowerLetter"/>
      <w:start w:val="1"/>
    </w:lvl>
  </w:abstractNum>
  <w:abstractNum w:abstractNumId="175">
    <w:nsid w:val="5015CD1A"/>
    <w:multiLevelType w:val="hybridMultilevel"/>
    <w:lvl w:ilvl="0">
      <w:lvlJc w:val="left"/>
      <w:lvlText w:val="%1."/>
      <w:numFmt w:val="decimal"/>
      <w:start w:val="1"/>
    </w:lvl>
    <w:lvl w:ilvl="1">
      <w:lvlJc w:val="left"/>
      <w:lvlText w:val="%2."/>
      <w:numFmt w:val="lowerLetter"/>
      <w:start w:val="1"/>
    </w:lvl>
  </w:abstractNum>
  <w:abstractNum w:abstractNumId="176">
    <w:nsid w:val="424479DA"/>
    <w:multiLevelType w:val="hybridMultilevel"/>
    <w:lvl w:ilvl="0">
      <w:lvlJc w:val="left"/>
      <w:lvlText w:val="%1."/>
      <w:numFmt w:val="decimal"/>
      <w:start w:val="1"/>
    </w:lvl>
    <w:lvl w:ilvl="1">
      <w:lvlJc w:val="left"/>
      <w:lvlText w:val="%2."/>
      <w:numFmt w:val="lowerLetter"/>
      <w:start w:val="1"/>
    </w:lvl>
  </w:abstractNum>
  <w:abstractNum w:abstractNumId="177">
    <w:nsid w:val="1A9A9E69"/>
    <w:multiLevelType w:val="hybridMultilevel"/>
    <w:lvl w:ilvl="0">
      <w:lvlJc w:val="left"/>
      <w:lvlText w:val="%1."/>
      <w:numFmt w:val="decimal"/>
      <w:start w:val="1"/>
    </w:lvl>
    <w:lvl w:ilvl="1">
      <w:lvlJc w:val="left"/>
      <w:lvlText w:val="%2."/>
      <w:numFmt w:val="lowerLetter"/>
      <w:start w:val="1"/>
    </w:lvl>
  </w:abstractNum>
  <w:abstractNum w:abstractNumId="178">
    <w:nsid w:val="475E256A"/>
    <w:multiLevelType w:val="hybridMultilevel"/>
    <w:lvl w:ilvl="0">
      <w:lvlJc w:val="left"/>
      <w:lvlText w:val="%1."/>
      <w:numFmt w:val="decimal"/>
      <w:start w:val="1"/>
    </w:lvl>
  </w:abstractNum>
  <w:abstractNum w:abstractNumId="179">
    <w:nsid w:val="368DB37E"/>
    <w:multiLevelType w:val="hybridMultilevel"/>
    <w:lvl w:ilvl="0">
      <w:lvlJc w:val="left"/>
      <w:lvlText w:val="%1."/>
      <w:numFmt w:val="decimal"/>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4" Type="http://schemas.openxmlformats.org/officeDocument/2006/relationships/image" Target="media/image114.png"/><Relationship Id="rId145" Type="http://schemas.openxmlformats.org/officeDocument/2006/relationships/image" Target="media/image115.png"/><Relationship Id="rId157"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121" Type="http://schemas.openxmlformats.org/officeDocument/2006/relationships/hyperlink" Target="https://www.sec.gov/Archives/edgar/data/922358/000092235815000016/fgp-20150731ex31.htm" TargetMode="External"/><Relationship Id="rId122" Type="http://schemas.openxmlformats.org/officeDocument/2006/relationships/hyperlink" Target="https://www.sec.gov/Archives/edgar/data/922358/000092235818000006/fgpfifthamendmentex314.htm" TargetMode="External"/><Relationship Id="rId123" Type="http://schemas.openxmlformats.org/officeDocument/2006/relationships/hyperlink" Target="http://www.sec.gov/Archives/edgar/data/922358/000095012909000794/h65919exv3w6.htm" TargetMode="External"/><Relationship Id="rId124" Type="http://schemas.openxmlformats.org/officeDocument/2006/relationships/hyperlink" Target="http://www.sec.gov/Archives/edgar/data/922358/000095012909000794/h65919exv3w7.htm" TargetMode="External"/><Relationship Id="rId125" Type="http://schemas.openxmlformats.org/officeDocument/2006/relationships/hyperlink" Target="http://www.sec.gov/Archives/edgar/data/922358/000092235815000016/fgp-20150731ex39.htm" TargetMode="External"/><Relationship Id="rId126" Type="http://schemas.openxmlformats.org/officeDocument/2006/relationships/hyperlink" Target="http://www.sec.gov/Archives/edgar/data/922358/000095012909000794/h65919exv3w5.htm" TargetMode="External"/><Relationship Id="rId127" Type="http://schemas.openxmlformats.org/officeDocument/2006/relationships/hyperlink" Target="https://www.sec.gov/Archives/edgar/data/922358/000110465920051328/tm2016809d1_ex3-1.htm" TargetMode="External"/><Relationship Id="rId128" Type="http://schemas.openxmlformats.org/officeDocument/2006/relationships/hyperlink" Target="http://www.sec.gov/Archives/edgar/data/922358/000095012909000794/h65919exv3w8.htm" TargetMode="External"/><Relationship Id="rId129" Type="http://schemas.openxmlformats.org/officeDocument/2006/relationships/hyperlink" Target="http://www.sec.gov/Archives/edgar/data/922358/000095012909000794/h65919exv3w9.htm" TargetMode="External"/><Relationship Id="rId130" Type="http://schemas.openxmlformats.org/officeDocument/2006/relationships/hyperlink" Target="http://www.sec.gov/Archives/edgar/data/922358/000095012909000794/h65919exv3w1.htm" TargetMode="External"/><Relationship Id="rId131" Type="http://schemas.openxmlformats.org/officeDocument/2006/relationships/hyperlink" Target="http://www.sec.gov/Archives/edgar/data/922358/000110465913081202/a13-23629_1ex4d1.htm" TargetMode="External"/><Relationship Id="rId132" Type="http://schemas.openxmlformats.org/officeDocument/2006/relationships/hyperlink" Target="http://www.sec.gov/Archives/edgar/data/922358/000110465910019521/a10-8083_1ex4d1.htm" TargetMode="External"/><Relationship Id="rId133" Type="http://schemas.openxmlformats.org/officeDocument/2006/relationships/hyperlink" Target="http://www.sec.gov/Archives/edgar/data/922358/000110465910019521/a10-8083_1ex4d2.htm" TargetMode="External"/><Relationship Id="rId135" Type="http://schemas.openxmlformats.org/officeDocument/2006/relationships/hyperlink" Target="http://www.sec.gov/Archives/edgar/data/922358/000110465917004833/a17-3419_1ex4d3.htm" TargetMode="External"/><Relationship Id="rId136" Type="http://schemas.openxmlformats.org/officeDocument/2006/relationships/hyperlink" Target="http://www.sec.gov/Archives/edgar/data/922358/000110465910060518/a10-21985_1ex4d1.htm" TargetMode="External"/><Relationship Id="rId137" Type="http://schemas.openxmlformats.org/officeDocument/2006/relationships/hyperlink" Target="http://www.sec.gov/Archives/edgar/data/922358/000110465915043977/a15-13180_7ex4d1.htm" TargetMode="External"/><Relationship Id="rId138" Type="http://schemas.openxmlformats.org/officeDocument/2006/relationships/hyperlink" Target="https://www.sec.gov/Archives/edgar/data/922358/000110465920047954/tm2011616d3_ex4-1.htm" TargetMode="External"/><Relationship Id="rId139" Type="http://schemas.openxmlformats.org/officeDocument/2006/relationships/hyperlink" Target="http://www.sec.gov/Archives/edgar/data/922358/000110465918055715/a18-24159_1ex10d1.htm" TargetMode="External"/><Relationship Id="rId140" Type="http://schemas.openxmlformats.org/officeDocument/2006/relationships/hyperlink" Target="http://www.sec.gov/Archives/edgar/data/922358/000110465912003163/a12-2885_5ex10d1.htm" TargetMode="External"/><Relationship Id="rId141" Type="http://schemas.openxmlformats.org/officeDocument/2006/relationships/hyperlink" Target="http://www.sec.gov/Archives/edgar/data/922358/000110465912003163/a12-2885_5ex10d2.htm" TargetMode="External"/><Relationship Id="rId142" Type="http://schemas.openxmlformats.org/officeDocument/2006/relationships/hyperlink" Target="http://www.sec.gov/Archives/edgar/data/922358/000110465912042456/a12-13364_1ex10d5.htm" TargetMode="External"/><Relationship Id="rId143" Type="http://schemas.openxmlformats.org/officeDocument/2006/relationships/hyperlink" Target="http://www.sec.gov/Archives/edgar/data/922358/000129993314000539/exhibit1.htm" TargetMode="External"/><Relationship Id="rId144" Type="http://schemas.openxmlformats.org/officeDocument/2006/relationships/hyperlink" Target="http://www.sec.gov/Archives/edgar/data/922358/000129993316002799/exhibit1.htm" TargetMode="External"/><Relationship Id="rId146" Type="http://schemas.openxmlformats.org/officeDocument/2006/relationships/hyperlink" Target="http://www.sec.gov/Archives/edgar/data/922358/000092235816000032/fgp-2016731ex1038.htm" TargetMode="External"/><Relationship Id="rId147" Type="http://schemas.openxmlformats.org/officeDocument/2006/relationships/hyperlink" Target="http://www.sec.gov/Archives/edgar/data/922358/000129993317000439/exhibit2.htm" TargetMode="External"/><Relationship Id="rId148" Type="http://schemas.openxmlformats.org/officeDocument/2006/relationships/hyperlink" Target="http://www.sec.gov/Archives/edgar/data/922358/000110465918055715/a18-24159_1ex10d2.htm" TargetMode="External"/><Relationship Id="rId149" Type="http://schemas.openxmlformats.org/officeDocument/2006/relationships/hyperlink" Target="https://www.sec.gov/Archives/edgar/data/922358/000155837019011394/fgp-20191031ex1017c1058.htm" TargetMode="External"/><Relationship Id="rId150" Type="http://schemas.openxmlformats.org/officeDocument/2006/relationships/hyperlink" Target="https://www.sec.gov/Archives/edgar/data/922358/000110465920045692/tm2015077d3_ex10-1.htm" TargetMode="External"/><Relationship Id="rId151" Type="http://schemas.openxmlformats.org/officeDocument/2006/relationships/hyperlink" Target="http://www.sec.gov/Archives/edgar/data/922358/000110465910013329/a10-5057_1ex10d14.htm" TargetMode="External"/><Relationship Id="rId152" Type="http://schemas.openxmlformats.org/officeDocument/2006/relationships/hyperlink" Target="http://www.sec.gov/Archives/edgar/data/922358/000092235814000011/fgp20140731ex109.htm" TargetMode="External"/><Relationship Id="rId153" Type="http://schemas.openxmlformats.org/officeDocument/2006/relationships/hyperlink" Target="http://www.sec.gov/Archives/edgar/data/922358/000110465910033075/a10-11173_1ex10d7.htm" TargetMode="External"/><Relationship Id="rId154" Type="http://schemas.openxmlformats.org/officeDocument/2006/relationships/hyperlink" Target="http://www.sec.gov/Archives/edgar/data/922358/000092235814000011/fgp20140731ex1011.htm" TargetMode="External"/><Relationship Id="rId155" Type="http://schemas.openxmlformats.org/officeDocument/2006/relationships/hyperlink" Target="http://www.sec.gov/Archives/edgar/data/922358/000110465912016880/a12-6223_1ex10d16.htm" TargetMode="External"/><Relationship Id="rId156" Type="http://schemas.openxmlformats.org/officeDocument/2006/relationships/hyperlink" Target="http://www.sec.gov/Archives/edgar/data/922358/000092235815000016/fgp-20150731ex1023.htm" TargetMode="External"/><Relationship Id="rId158" Type="http://schemas.openxmlformats.org/officeDocument/2006/relationships/hyperlink" Target="https://www.sec.gov/Archives/edgar/data/922358/000155837019005571/fgp-20190430ex1031c8e14.htm" TargetMode="External"/><Relationship Id="rId159" Type="http://schemas.openxmlformats.org/officeDocument/2006/relationships/hyperlink" Target="https://www.sec.gov/Archives/edgar/data/922358/000156459019042526/fgp-ex101_106.htm" TargetMode="External"/><Relationship Id="rId160" Type="http://schemas.openxmlformats.org/officeDocument/2006/relationships/hyperlink" Target="https://www.sec.gov/Archives/edgar/data/922358/000155837019011394/fgp-20191031ex10345302d.htm" TargetMode="External"/><Relationship Id="rId161" Type="http://schemas.openxmlformats.org/officeDocument/2006/relationships/hyperlink" Target="https://www.sec.gov/Archives/edgar/data/922358/000155837020007283/fgp-20200430ex102155c03.htm" TargetMode="External"/><Relationship Id="rId162" Type="http://schemas.openxmlformats.org/officeDocument/2006/relationships/hyperlink" Target="https://www.sec.gov/Archives/edgar/data/922358/000155837020007283/fgp-20200430ex10225e3f7.htm" TargetMode="External"/><Relationship Id="rId163" Type="http://schemas.openxmlformats.org/officeDocument/2006/relationships/hyperlink" Target="https://www.sec.gov/Archives/edgar/data/922358/000155837020007283/fgp-20200430ex1023c5980.htm" TargetMode="External"/><Relationship Id="rId164" Type="http://schemas.openxmlformats.org/officeDocument/2006/relationships/hyperlink" Target="https://www.sec.gov/Archives/edgar/data/922358/000110465920072415/tm202233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2020-10-15T06:47:30Z</dcterms:created>
  <dcterms:modified xsi:type="dcterms:W3CDTF">2020-10-15T06:47:30Z</dcterms:modified>
</cp:coreProperties>
</file>