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52026_040952.xml.htm"/>
      <w:bookmarkStart w:id="1" w:name="ksform409252026_0409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MORRISSEY MICHAEL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FERRELLGAS,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LIBERTY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FERRELLGAS PARTNERS L 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5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57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5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2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represents the economic equivalent of one Class A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Accrues dividend equivalent rights.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Vests on September 23, 2027. Each vested Phantom Unit represents the right to receive a cash payment following the first to occur of (1) termination of service from the Board of Directors, (2) a change of control, or (3) the third anniversary of the September 23, 2026 grant date, in an amount equal to the average closing price of a Class A Unit for the 10 trading days immediately preceding the first to occur of the foregoing, subject to the terms and conditions of the Phantom Unit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See above note.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F. Morrissey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2839" TargetMode="External"/><Relationship Id="rId5" Type="http://schemas.openxmlformats.org/officeDocument/2006/relationships/hyperlink" Target="http://www.sec.gov/cgi-bin/browse-edgar?action=getcompany&amp;CIK=0000922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681</Words>
  <Characters>3610</Characters>
  <CharactersWithSpaces>4217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