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40927.xml.htm"/>
      <w:bookmarkStart w:id="1" w:name="ksform409252026_0409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FERRELL JAMES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FERRELLGAS,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FERRELLGAS PARTNERS L 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5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57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5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2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represents the economic equivalent of one Class A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Accrues dividend equivalent rights.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on September 23, 2027. Each vested Phantom Unit represents the right to receive a cash payment following the first to occur of (1) termination of service from the Board of Directors, (2) a change of control, or (3) the third anniversary of the September 23, 2026 grant date, in an amount equal to the average closing price of a Class A Unit for the 10 trading days immediately preceding the first to occur of the foregoing, subject to the terms and conditions of the Phantom Unit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See above 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E. Ferrell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835" TargetMode="External"/><Relationship Id="rId5" Type="http://schemas.openxmlformats.org/officeDocument/2006/relationships/hyperlink" Target="http://www.sec.gov/cgi-bin/browse-edgar?action=getcompany&amp;CIK=0000922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681</Words>
  <Characters>3602</Characters>
  <CharactersWithSpaces>4209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