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9252026_040905.xml.htm"/>
      <w:bookmarkStart w:id="1" w:name="ksform409252026_04090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Safran Andrew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LIBERTY PLAZA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LIBERTY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MO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64068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FERRELLGAS PARTNERS L 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NONE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54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75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576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54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2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5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Phantom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09/23/2026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5,782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5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Units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5,782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6,801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Phantom Unit represents the economic equivalent of one Class A Unit.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Accrues dividend equivalent rights.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Vests on September 23, 2027. Each vested Phantom Unit represents the right to receive a cash payment following the first to occur of (1) termination of service from the Board of Directors, (2) a change of control, or (3) the third anniversary of the September 23, 2026 grant date, in an amount equal to the average closing price of a Class A Unit for the 10 trading days immediately preceding the first to occur of the foregoing, subject to the terms and conditions of the Phantom Unit Award Agreement.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See above note.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Andrew Safran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37144" TargetMode="External"/><Relationship Id="rId5" Type="http://schemas.openxmlformats.org/officeDocument/2006/relationships/hyperlink" Target="http://www.sec.gov/cgi-bin/browse-edgar?action=getcompany&amp;CIK=000092235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676</Words>
  <Characters>3580</Characters>
  <CharactersWithSpaces>4183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