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-231775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-675005</wp:posOffset>
            </wp:positionV>
            <wp:extent cx="125730" cy="125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4027170</wp:posOffset>
            </wp:positionH>
            <wp:positionV relativeFrom="paragraph">
              <wp:posOffset>-640715</wp:posOffset>
            </wp:positionV>
            <wp:extent cx="59055" cy="654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763905</wp:posOffset>
            </wp:positionV>
            <wp:extent cx="7044690" cy="6362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636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60"/>
            <w:col w:w="8580"/>
          </w:cols>
          <w:pgMar w:left="460" w:top="218" w:right="359" w:bottom="1161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Breuckmann Pamela A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FERRELLGAS PARTNERS L 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FERRELLGAS,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161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64068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16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Pamela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Breuckmann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Pamela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Breuckmann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Trust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260" w:firstLine="5"/>
        <w:spacing w:after="0" w:line="268" w:lineRule="auto"/>
        <w:tabs>
          <w:tab w:leader="none" w:pos="17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16, 2026, all of the Issuer's outstanding Class B Units were converted into Class A Units of the Issuer at a conversion rate of five Class A Units for each Class B Unit. The Class B Units were convertible at the option of the Issuer, subject to satisfaction of a specified condition, at specified conversion rates applicable to specified time periods. The Class B Units had no expiration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Pamela A. Breuckmann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03/26/2026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20" w:firstLine="5"/>
        <w:spacing w:after="0" w:line="317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1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8253" TargetMode="External"/><Relationship Id="rId14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2026-03-26T10:24:15Z</dcterms:created>
  <dcterms:modified xsi:type="dcterms:W3CDTF">2026-03-26T10:24:15Z</dcterms:modified>
</cp:coreProperties>
</file>