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1" w:lineRule="exact"/>
        <w:rPr>
          <w:sz w:val="24"/>
          <w:szCs w:val="24"/>
          <w:color w:val="auto"/>
        </w:rPr>
      </w:pPr>
    </w:p>
    <w:p>
      <w:pPr>
        <w:jc w:val="center"/>
        <w:ind w:right="-2"/>
        <w:spacing w:after="0"/>
        <w:rPr>
          <w:sz w:val="20"/>
          <w:szCs w:val="20"/>
          <w:color w:val="auto"/>
        </w:rPr>
      </w:pPr>
      <w:r>
        <w:rPr>
          <w:rFonts w:ascii="Arial" w:cs="Arial" w:eastAsia="Arial" w:hAnsi="Arial"/>
          <w:sz w:val="12"/>
          <w:szCs w:val="12"/>
          <w:color w:val="auto"/>
        </w:rPr>
        <w:t>UNITED STATES</w:t>
      </w:r>
    </w:p>
    <w:p>
      <w:pPr>
        <w:jc w:val="center"/>
        <w:ind w:right="-2"/>
        <w:spacing w:after="0" w:line="228" w:lineRule="auto"/>
        <w:rPr>
          <w:sz w:val="20"/>
          <w:szCs w:val="20"/>
          <w:color w:val="auto"/>
        </w:rPr>
      </w:pPr>
      <w:r>
        <w:rPr>
          <w:rFonts w:ascii="Arial" w:cs="Arial" w:eastAsia="Arial" w:hAnsi="Arial"/>
          <w:sz w:val="10"/>
          <w:szCs w:val="10"/>
          <w:color w:val="auto"/>
        </w:rPr>
        <w:t>SECURITIES AND EXCHANGE COMMISSION</w:t>
      </w:r>
    </w:p>
    <w:p>
      <w:pPr>
        <w:jc w:val="center"/>
        <w:ind w:right="-2"/>
        <w:spacing w:after="0" w:line="237" w:lineRule="auto"/>
        <w:rPr>
          <w:sz w:val="20"/>
          <w:szCs w:val="20"/>
          <w:color w:val="auto"/>
        </w:rPr>
      </w:pPr>
      <w:r>
        <w:rPr>
          <w:rFonts w:ascii="Arial" w:cs="Arial" w:eastAsia="Arial" w:hAnsi="Arial"/>
          <w:sz w:val="10"/>
          <w:szCs w:val="10"/>
          <w:color w:val="auto"/>
        </w:rPr>
        <w:t>Washington, D.C. 20549</w:t>
      </w:r>
    </w:p>
    <w:p>
      <w:pPr>
        <w:spacing w:after="0" w:line="23" w:lineRule="exact"/>
        <w:rPr>
          <w:sz w:val="24"/>
          <w:szCs w:val="24"/>
          <w:color w:val="auto"/>
        </w:rPr>
      </w:pPr>
    </w:p>
    <w:p>
      <w:pPr>
        <w:jc w:val="center"/>
        <w:ind w:right="-2"/>
        <w:spacing w:after="0"/>
        <w:rPr>
          <w:sz w:val="20"/>
          <w:szCs w:val="20"/>
          <w:color w:val="auto"/>
        </w:rPr>
      </w:pPr>
      <w:r>
        <w:rPr>
          <w:rFonts w:ascii="Arial" w:cs="Arial" w:eastAsia="Arial" w:hAnsi="Arial"/>
          <w:sz w:val="10"/>
          <w:szCs w:val="10"/>
          <w:color w:val="auto"/>
        </w:rPr>
        <w:t>Form 10-Q</w:t>
      </w:r>
    </w:p>
    <w:p>
      <w:pPr>
        <w:spacing w:after="0" w:line="65" w:lineRule="exact"/>
        <w:rPr>
          <w:sz w:val="24"/>
          <w:szCs w:val="24"/>
          <w:color w:val="auto"/>
        </w:rPr>
      </w:pPr>
    </w:p>
    <w:p>
      <w:pPr>
        <w:ind w:left="423" w:hanging="387"/>
        <w:spacing w:after="0"/>
        <w:tabs>
          <w:tab w:leader="none" w:pos="423" w:val="left"/>
        </w:tabs>
        <w:numPr>
          <w:ilvl w:val="0"/>
          <w:numId w:val="1"/>
        </w:numPr>
        <w:rPr>
          <w:rFonts w:ascii="MS PGothic" w:cs="MS PGothic" w:eastAsia="MS PGothic" w:hAnsi="MS PGothic"/>
          <w:sz w:val="8"/>
          <w:szCs w:val="8"/>
          <w:color w:val="auto"/>
        </w:rPr>
      </w:pPr>
      <w:r>
        <w:rPr>
          <w:rFonts w:ascii="Arial" w:cs="Arial" w:eastAsia="Arial" w:hAnsi="Arial"/>
          <w:sz w:val="10"/>
          <w:szCs w:val="10"/>
          <w:color w:val="auto"/>
        </w:rPr>
        <w:t>QUARTERLY REPORT PURSUANT TO SECTION 13 OR 15(d) OF THE SECURITIES EXCHANGE ACT OF 1934</w:t>
      </w:r>
    </w:p>
    <w:p>
      <w:pPr>
        <w:spacing w:after="0" w:line="32" w:lineRule="exact"/>
        <w:rPr>
          <w:rFonts w:ascii="MS PGothic" w:cs="MS PGothic" w:eastAsia="MS PGothic" w:hAnsi="MS PGothic"/>
          <w:sz w:val="8"/>
          <w:szCs w:val="8"/>
          <w:color w:val="auto"/>
        </w:rPr>
      </w:pPr>
    </w:p>
    <w:p>
      <w:pPr>
        <w:ind w:left="423"/>
        <w:spacing w:after="0"/>
        <w:rPr>
          <w:rFonts w:ascii="MS PGothic" w:cs="MS PGothic" w:eastAsia="MS PGothic" w:hAnsi="MS PGothic"/>
          <w:sz w:val="8"/>
          <w:szCs w:val="8"/>
          <w:color w:val="auto"/>
        </w:rPr>
      </w:pPr>
      <w:r>
        <w:rPr>
          <w:rFonts w:ascii="Arial" w:cs="Arial" w:eastAsia="Arial" w:hAnsi="Arial"/>
          <w:sz w:val="8"/>
          <w:szCs w:val="8"/>
          <w:color w:val="auto"/>
        </w:rPr>
        <w:t>For the quarterly period ended April 30, 2021</w:t>
      </w:r>
    </w:p>
    <w:p>
      <w:pPr>
        <w:spacing w:after="0" w:line="39" w:lineRule="exact"/>
        <w:rPr>
          <w:sz w:val="24"/>
          <w:szCs w:val="24"/>
          <w:color w:val="auto"/>
        </w:rPr>
      </w:pPr>
    </w:p>
    <w:p>
      <w:pPr>
        <w:jc w:val="center"/>
        <w:ind w:right="-62"/>
        <w:spacing w:after="0"/>
        <w:rPr>
          <w:sz w:val="20"/>
          <w:szCs w:val="20"/>
          <w:color w:val="auto"/>
        </w:rPr>
      </w:pPr>
      <w:r>
        <w:rPr>
          <w:rFonts w:ascii="Arial" w:cs="Arial" w:eastAsia="Arial" w:hAnsi="Arial"/>
          <w:sz w:val="10"/>
          <w:szCs w:val="10"/>
          <w:color w:val="auto"/>
        </w:rPr>
        <w:t>or</w:t>
      </w:r>
    </w:p>
    <w:p>
      <w:pPr>
        <w:spacing w:after="0" w:line="51" w:lineRule="exact"/>
        <w:rPr>
          <w:sz w:val="24"/>
          <w:szCs w:val="24"/>
          <w:color w:val="auto"/>
        </w:rPr>
      </w:pPr>
    </w:p>
    <w:p>
      <w:pPr>
        <w:ind w:left="423" w:right="5840" w:hanging="423"/>
        <w:spacing w:after="0" w:line="352" w:lineRule="auto"/>
        <w:tabs>
          <w:tab w:leader="none" w:pos="423" w:val="left"/>
        </w:tabs>
        <w:numPr>
          <w:ilvl w:val="0"/>
          <w:numId w:val="2"/>
        </w:numPr>
        <w:rPr>
          <w:rFonts w:ascii="MS PGothic" w:cs="MS PGothic" w:eastAsia="MS PGothic" w:hAnsi="MS PGothic"/>
          <w:sz w:val="8"/>
          <w:szCs w:val="8"/>
          <w:color w:val="auto"/>
        </w:rPr>
      </w:pPr>
      <w:r>
        <w:rPr>
          <w:rFonts w:ascii="Arial" w:cs="Arial" w:eastAsia="Arial" w:hAnsi="Arial"/>
          <w:sz w:val="8"/>
          <w:szCs w:val="8"/>
          <w:color w:val="auto"/>
        </w:rPr>
        <w:t>TRANSITION REPORT PURSUANT TO SECTION 13 OR 15(d) OF THE SECURITIES EXCHANGE ACT OF 1934 For the transition period from to</w:t>
      </w:r>
    </w:p>
    <w:tbl>
      <w:tblPr>
        <w:tblLayout w:type="fixed"/>
        <w:tblInd w:w="3" w:type="dxa"/>
        <w:tblCellMar>
          <w:top w:w="0" w:type="dxa"/>
          <w:left w:w="0" w:type="dxa"/>
          <w:bottom w:w="0" w:type="dxa"/>
          <w:right w:w="0" w:type="dxa"/>
        </w:tblCellMar>
      </w:tblPr>
      <w:tr>
        <w:trPr>
          <w:trHeight w:val="105"/>
        </w:trPr>
        <w:tc>
          <w:tcPr>
            <w:tcW w:w="3720" w:type="dxa"/>
            <w:vAlign w:val="bottom"/>
          </w:tcPr>
          <w:p>
            <w:pPr>
              <w:spacing w:after="0"/>
              <w:rPr>
                <w:sz w:val="9"/>
                <w:szCs w:val="9"/>
                <w:color w:val="auto"/>
              </w:rPr>
            </w:pPr>
          </w:p>
        </w:tc>
        <w:tc>
          <w:tcPr>
            <w:tcW w:w="6580" w:type="dxa"/>
            <w:vAlign w:val="bottom"/>
            <w:gridSpan w:val="3"/>
          </w:tcPr>
          <w:p>
            <w:pPr>
              <w:jc w:val="center"/>
              <w:ind w:right="3698"/>
              <w:spacing w:after="0"/>
              <w:rPr>
                <w:sz w:val="20"/>
                <w:szCs w:val="20"/>
                <w:color w:val="auto"/>
              </w:rPr>
            </w:pPr>
            <w:r>
              <w:rPr>
                <w:rFonts w:ascii="Arial" w:cs="Arial" w:eastAsia="Arial" w:hAnsi="Arial"/>
                <w:sz w:val="8"/>
                <w:szCs w:val="8"/>
                <w:color w:val="auto"/>
                <w:w w:val="95"/>
              </w:rPr>
              <w:t>Commission file numbers: 001-11331, 333-06693-02, 000-50182 and 000-50183</w:t>
            </w:r>
          </w:p>
        </w:tc>
      </w:tr>
      <w:tr>
        <w:trPr>
          <w:trHeight w:val="174"/>
        </w:trPr>
        <w:tc>
          <w:tcPr>
            <w:tcW w:w="3720" w:type="dxa"/>
            <w:vAlign w:val="bottom"/>
          </w:tcPr>
          <w:p>
            <w:pPr>
              <w:spacing w:after="0"/>
              <w:rPr>
                <w:sz w:val="15"/>
                <w:szCs w:val="15"/>
                <w:color w:val="auto"/>
              </w:rPr>
            </w:pPr>
          </w:p>
        </w:tc>
        <w:tc>
          <w:tcPr>
            <w:tcW w:w="6580" w:type="dxa"/>
            <w:vAlign w:val="bottom"/>
            <w:gridSpan w:val="3"/>
          </w:tcPr>
          <w:p>
            <w:pPr>
              <w:jc w:val="center"/>
              <w:ind w:right="3698"/>
              <w:spacing w:after="0"/>
              <w:rPr>
                <w:sz w:val="20"/>
                <w:szCs w:val="20"/>
                <w:color w:val="auto"/>
              </w:rPr>
            </w:pPr>
            <w:r>
              <w:rPr>
                <w:rFonts w:ascii="Arial" w:cs="Arial" w:eastAsia="Arial" w:hAnsi="Arial"/>
                <w:sz w:val="12"/>
                <w:szCs w:val="12"/>
                <w:color w:val="auto"/>
                <w:w w:val="89"/>
              </w:rPr>
              <w:t>Ferrellgas Partners, L.P.</w:t>
            </w:r>
          </w:p>
        </w:tc>
      </w:tr>
      <w:tr>
        <w:trPr>
          <w:trHeight w:val="144"/>
        </w:trPr>
        <w:tc>
          <w:tcPr>
            <w:tcW w:w="3720" w:type="dxa"/>
            <w:vAlign w:val="bottom"/>
          </w:tcPr>
          <w:p>
            <w:pPr>
              <w:spacing w:after="0"/>
              <w:rPr>
                <w:sz w:val="12"/>
                <w:szCs w:val="12"/>
                <w:color w:val="auto"/>
              </w:rPr>
            </w:pPr>
          </w:p>
        </w:tc>
        <w:tc>
          <w:tcPr>
            <w:tcW w:w="6580" w:type="dxa"/>
            <w:vAlign w:val="bottom"/>
            <w:gridSpan w:val="3"/>
          </w:tcPr>
          <w:p>
            <w:pPr>
              <w:jc w:val="center"/>
              <w:ind w:right="3678"/>
              <w:spacing w:after="0"/>
              <w:rPr>
                <w:sz w:val="20"/>
                <w:szCs w:val="20"/>
                <w:color w:val="auto"/>
              </w:rPr>
            </w:pPr>
            <w:r>
              <w:rPr>
                <w:rFonts w:ascii="Arial" w:cs="Arial" w:eastAsia="Arial" w:hAnsi="Arial"/>
                <w:sz w:val="12"/>
                <w:szCs w:val="12"/>
                <w:color w:val="auto"/>
                <w:w w:val="89"/>
              </w:rPr>
              <w:t>Ferrellgas Partners Finance Corp.</w:t>
            </w:r>
          </w:p>
        </w:tc>
      </w:tr>
      <w:tr>
        <w:trPr>
          <w:trHeight w:val="144"/>
        </w:trPr>
        <w:tc>
          <w:tcPr>
            <w:tcW w:w="3720" w:type="dxa"/>
            <w:vAlign w:val="bottom"/>
          </w:tcPr>
          <w:p>
            <w:pPr>
              <w:spacing w:after="0"/>
              <w:rPr>
                <w:sz w:val="12"/>
                <w:szCs w:val="12"/>
                <w:color w:val="auto"/>
              </w:rPr>
            </w:pPr>
          </w:p>
        </w:tc>
        <w:tc>
          <w:tcPr>
            <w:tcW w:w="6580" w:type="dxa"/>
            <w:vAlign w:val="bottom"/>
            <w:gridSpan w:val="3"/>
          </w:tcPr>
          <w:p>
            <w:pPr>
              <w:jc w:val="center"/>
              <w:ind w:right="3698"/>
              <w:spacing w:after="0"/>
              <w:rPr>
                <w:sz w:val="20"/>
                <w:szCs w:val="20"/>
                <w:color w:val="auto"/>
              </w:rPr>
            </w:pPr>
            <w:r>
              <w:rPr>
                <w:rFonts w:ascii="Arial" w:cs="Arial" w:eastAsia="Arial" w:hAnsi="Arial"/>
                <w:sz w:val="12"/>
                <w:szCs w:val="12"/>
                <w:color w:val="auto"/>
                <w:w w:val="88"/>
              </w:rPr>
              <w:t>Ferrellgas, L.P.</w:t>
            </w:r>
          </w:p>
        </w:tc>
      </w:tr>
      <w:tr>
        <w:trPr>
          <w:trHeight w:val="144"/>
        </w:trPr>
        <w:tc>
          <w:tcPr>
            <w:tcW w:w="3720" w:type="dxa"/>
            <w:vAlign w:val="bottom"/>
          </w:tcPr>
          <w:p>
            <w:pPr>
              <w:spacing w:after="0"/>
              <w:rPr>
                <w:sz w:val="12"/>
                <w:szCs w:val="12"/>
                <w:color w:val="auto"/>
              </w:rPr>
            </w:pPr>
          </w:p>
        </w:tc>
        <w:tc>
          <w:tcPr>
            <w:tcW w:w="6580" w:type="dxa"/>
            <w:vAlign w:val="bottom"/>
            <w:gridSpan w:val="3"/>
          </w:tcPr>
          <w:p>
            <w:pPr>
              <w:jc w:val="center"/>
              <w:ind w:right="3698"/>
              <w:spacing w:after="0"/>
              <w:rPr>
                <w:sz w:val="20"/>
                <w:szCs w:val="20"/>
                <w:color w:val="auto"/>
              </w:rPr>
            </w:pPr>
            <w:r>
              <w:rPr>
                <w:rFonts w:ascii="Arial" w:cs="Arial" w:eastAsia="Arial" w:hAnsi="Arial"/>
                <w:sz w:val="12"/>
                <w:szCs w:val="12"/>
                <w:color w:val="auto"/>
                <w:w w:val="90"/>
              </w:rPr>
              <w:t>Ferrellgas Finance Corp.</w:t>
            </w:r>
          </w:p>
        </w:tc>
      </w:tr>
      <w:tr>
        <w:trPr>
          <w:trHeight w:val="105"/>
        </w:trPr>
        <w:tc>
          <w:tcPr>
            <w:tcW w:w="3720" w:type="dxa"/>
            <w:vAlign w:val="bottom"/>
          </w:tcPr>
          <w:p>
            <w:pPr>
              <w:spacing w:after="0"/>
              <w:rPr>
                <w:sz w:val="9"/>
                <w:szCs w:val="9"/>
                <w:color w:val="auto"/>
              </w:rPr>
            </w:pPr>
          </w:p>
        </w:tc>
        <w:tc>
          <w:tcPr>
            <w:tcW w:w="6580" w:type="dxa"/>
            <w:vAlign w:val="bottom"/>
            <w:gridSpan w:val="3"/>
          </w:tcPr>
          <w:p>
            <w:pPr>
              <w:jc w:val="center"/>
              <w:ind w:right="3678"/>
              <w:spacing w:after="0"/>
              <w:rPr>
                <w:sz w:val="20"/>
                <w:szCs w:val="20"/>
                <w:color w:val="auto"/>
              </w:rPr>
            </w:pPr>
            <w:r>
              <w:rPr>
                <w:rFonts w:ascii="Arial" w:cs="Arial" w:eastAsia="Arial" w:hAnsi="Arial"/>
                <w:sz w:val="8"/>
                <w:szCs w:val="8"/>
                <w:i w:val="1"/>
                <w:iCs w:val="1"/>
                <w:color w:val="auto"/>
                <w:w w:val="96"/>
              </w:rPr>
              <w:t>(Exact name of registrants as specified in their charters)</w:t>
            </w:r>
          </w:p>
        </w:tc>
      </w:tr>
      <w:tr>
        <w:trPr>
          <w:trHeight w:val="120"/>
        </w:trPr>
        <w:tc>
          <w:tcPr>
            <w:tcW w:w="3720" w:type="dxa"/>
            <w:vAlign w:val="bottom"/>
          </w:tcPr>
          <w:p>
            <w:pPr>
              <w:ind w:left="2480"/>
              <w:spacing w:after="0"/>
              <w:rPr>
                <w:sz w:val="20"/>
                <w:szCs w:val="20"/>
                <w:color w:val="auto"/>
              </w:rPr>
            </w:pPr>
            <w:r>
              <w:rPr>
                <w:rFonts w:ascii="Arial" w:cs="Arial" w:eastAsia="Arial" w:hAnsi="Arial"/>
                <w:sz w:val="8"/>
                <w:szCs w:val="8"/>
                <w:color w:val="auto"/>
              </w:rPr>
              <w:t>Delaware</w:t>
            </w:r>
          </w:p>
        </w:tc>
        <w:tc>
          <w:tcPr>
            <w:tcW w:w="6580" w:type="dxa"/>
            <w:vAlign w:val="bottom"/>
            <w:gridSpan w:val="3"/>
          </w:tcPr>
          <w:p>
            <w:pPr>
              <w:jc w:val="center"/>
              <w:ind w:left="1652"/>
              <w:spacing w:after="0"/>
              <w:rPr>
                <w:sz w:val="20"/>
                <w:szCs w:val="20"/>
                <w:color w:val="auto"/>
              </w:rPr>
            </w:pPr>
            <w:r>
              <w:rPr>
                <w:rFonts w:ascii="Arial" w:cs="Arial" w:eastAsia="Arial" w:hAnsi="Arial"/>
                <w:sz w:val="8"/>
                <w:szCs w:val="8"/>
                <w:color w:val="auto"/>
                <w:w w:val="93"/>
              </w:rPr>
              <w:t>43-1698480</w:t>
            </w:r>
          </w:p>
        </w:tc>
      </w:tr>
      <w:tr>
        <w:trPr>
          <w:trHeight w:val="90"/>
        </w:trPr>
        <w:tc>
          <w:tcPr>
            <w:tcW w:w="3720" w:type="dxa"/>
            <w:vAlign w:val="bottom"/>
          </w:tcPr>
          <w:p>
            <w:pPr>
              <w:ind w:left="2480"/>
              <w:spacing w:after="0" w:line="90" w:lineRule="exact"/>
              <w:rPr>
                <w:sz w:val="20"/>
                <w:szCs w:val="20"/>
                <w:color w:val="auto"/>
              </w:rPr>
            </w:pPr>
            <w:r>
              <w:rPr>
                <w:rFonts w:ascii="Arial" w:cs="Arial" w:eastAsia="Arial" w:hAnsi="Arial"/>
                <w:sz w:val="8"/>
                <w:szCs w:val="8"/>
                <w:color w:val="auto"/>
              </w:rPr>
              <w:t>Delaware</w:t>
            </w:r>
          </w:p>
        </w:tc>
        <w:tc>
          <w:tcPr>
            <w:tcW w:w="6580" w:type="dxa"/>
            <w:vAlign w:val="bottom"/>
            <w:gridSpan w:val="3"/>
          </w:tcPr>
          <w:p>
            <w:pPr>
              <w:jc w:val="center"/>
              <w:ind w:left="1652"/>
              <w:spacing w:after="0" w:line="90" w:lineRule="exact"/>
              <w:rPr>
                <w:sz w:val="20"/>
                <w:szCs w:val="20"/>
                <w:color w:val="auto"/>
              </w:rPr>
            </w:pPr>
            <w:r>
              <w:rPr>
                <w:rFonts w:ascii="Arial" w:cs="Arial" w:eastAsia="Arial" w:hAnsi="Arial"/>
                <w:sz w:val="8"/>
                <w:szCs w:val="8"/>
                <w:color w:val="auto"/>
                <w:w w:val="93"/>
              </w:rPr>
              <w:t>43-1742520</w:t>
            </w:r>
          </w:p>
        </w:tc>
      </w:tr>
      <w:tr>
        <w:trPr>
          <w:trHeight w:val="90"/>
        </w:trPr>
        <w:tc>
          <w:tcPr>
            <w:tcW w:w="3720" w:type="dxa"/>
            <w:vAlign w:val="bottom"/>
          </w:tcPr>
          <w:p>
            <w:pPr>
              <w:ind w:left="2480"/>
              <w:spacing w:after="0" w:line="90" w:lineRule="exact"/>
              <w:rPr>
                <w:sz w:val="20"/>
                <w:szCs w:val="20"/>
                <w:color w:val="auto"/>
              </w:rPr>
            </w:pPr>
            <w:r>
              <w:rPr>
                <w:rFonts w:ascii="Arial" w:cs="Arial" w:eastAsia="Arial" w:hAnsi="Arial"/>
                <w:sz w:val="8"/>
                <w:szCs w:val="8"/>
                <w:color w:val="auto"/>
              </w:rPr>
              <w:t>Delaware</w:t>
            </w:r>
          </w:p>
        </w:tc>
        <w:tc>
          <w:tcPr>
            <w:tcW w:w="6580" w:type="dxa"/>
            <w:vAlign w:val="bottom"/>
            <w:gridSpan w:val="3"/>
          </w:tcPr>
          <w:p>
            <w:pPr>
              <w:jc w:val="center"/>
              <w:ind w:left="1652"/>
              <w:spacing w:after="0" w:line="90" w:lineRule="exact"/>
              <w:rPr>
                <w:sz w:val="20"/>
                <w:szCs w:val="20"/>
                <w:color w:val="auto"/>
              </w:rPr>
            </w:pPr>
            <w:r>
              <w:rPr>
                <w:rFonts w:ascii="Arial" w:cs="Arial" w:eastAsia="Arial" w:hAnsi="Arial"/>
                <w:sz w:val="8"/>
                <w:szCs w:val="8"/>
                <w:color w:val="auto"/>
                <w:w w:val="93"/>
              </w:rPr>
              <w:t>43-1698481</w:t>
            </w:r>
          </w:p>
        </w:tc>
      </w:tr>
      <w:tr>
        <w:trPr>
          <w:trHeight w:val="99"/>
        </w:trPr>
        <w:tc>
          <w:tcPr>
            <w:tcW w:w="3720" w:type="dxa"/>
            <w:vAlign w:val="bottom"/>
          </w:tcPr>
          <w:p>
            <w:pPr>
              <w:ind w:left="2480"/>
              <w:spacing w:after="0"/>
              <w:rPr>
                <w:sz w:val="20"/>
                <w:szCs w:val="20"/>
                <w:color w:val="auto"/>
              </w:rPr>
            </w:pPr>
            <w:r>
              <w:rPr>
                <w:rFonts w:ascii="Arial" w:cs="Arial" w:eastAsia="Arial" w:hAnsi="Arial"/>
                <w:sz w:val="8"/>
                <w:szCs w:val="8"/>
                <w:color w:val="auto"/>
              </w:rPr>
              <w:t>Delaware</w:t>
            </w:r>
          </w:p>
        </w:tc>
        <w:tc>
          <w:tcPr>
            <w:tcW w:w="6580" w:type="dxa"/>
            <w:vAlign w:val="bottom"/>
            <w:gridSpan w:val="3"/>
          </w:tcPr>
          <w:p>
            <w:pPr>
              <w:jc w:val="center"/>
              <w:ind w:left="1652"/>
              <w:spacing w:after="0"/>
              <w:rPr>
                <w:sz w:val="20"/>
                <w:szCs w:val="20"/>
                <w:color w:val="auto"/>
              </w:rPr>
            </w:pPr>
            <w:r>
              <w:rPr>
                <w:rFonts w:ascii="Arial" w:cs="Arial" w:eastAsia="Arial" w:hAnsi="Arial"/>
                <w:sz w:val="8"/>
                <w:szCs w:val="8"/>
                <w:color w:val="auto"/>
                <w:w w:val="93"/>
              </w:rPr>
              <w:t>14-1866671</w:t>
            </w:r>
          </w:p>
        </w:tc>
      </w:tr>
      <w:tr>
        <w:trPr>
          <w:trHeight w:val="94"/>
        </w:trPr>
        <w:tc>
          <w:tcPr>
            <w:tcW w:w="3720" w:type="dxa"/>
            <w:vAlign w:val="bottom"/>
            <w:tcBorders>
              <w:top w:val="single" w:sz="8" w:color="auto"/>
            </w:tcBorders>
          </w:tcPr>
          <w:p>
            <w:pPr>
              <w:jc w:val="center"/>
              <w:ind w:left="1478"/>
              <w:spacing w:after="0"/>
              <w:rPr>
                <w:sz w:val="20"/>
                <w:szCs w:val="20"/>
                <w:color w:val="auto"/>
              </w:rPr>
            </w:pPr>
            <w:r>
              <w:rPr>
                <w:rFonts w:ascii="Arial" w:cs="Arial" w:eastAsia="Arial" w:hAnsi="Arial"/>
                <w:sz w:val="8"/>
                <w:szCs w:val="8"/>
                <w:color w:val="auto"/>
                <w:w w:val="97"/>
              </w:rPr>
              <w:t>(States or other jurisdictions of incorporation or organization)</w:t>
            </w:r>
          </w:p>
        </w:tc>
        <w:tc>
          <w:tcPr>
            <w:tcW w:w="1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8"/>
                <w:szCs w:val="8"/>
                <w:color w:val="auto"/>
                <w:w w:val="97"/>
              </w:rPr>
              <w:t>(I.R.S. Employer Identification Nos.)</w:t>
            </w:r>
          </w:p>
        </w:tc>
      </w:tr>
      <w:tr>
        <w:trPr>
          <w:trHeight w:val="111"/>
        </w:trPr>
        <w:tc>
          <w:tcPr>
            <w:tcW w:w="3720" w:type="dxa"/>
            <w:vAlign w:val="bottom"/>
          </w:tcPr>
          <w:p>
            <w:pPr>
              <w:jc w:val="center"/>
              <w:ind w:left="1478"/>
              <w:spacing w:after="0"/>
              <w:rPr>
                <w:sz w:val="20"/>
                <w:szCs w:val="20"/>
                <w:color w:val="auto"/>
              </w:rPr>
            </w:pPr>
            <w:r>
              <w:rPr>
                <w:rFonts w:ascii="Arial" w:cs="Arial" w:eastAsia="Arial" w:hAnsi="Arial"/>
                <w:sz w:val="8"/>
                <w:szCs w:val="8"/>
                <w:color w:val="auto"/>
                <w:w w:val="95"/>
              </w:rPr>
              <w:t>7500 College Boulevard,</w:t>
            </w: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60" w:type="dxa"/>
            <w:vAlign w:val="bottom"/>
          </w:tcPr>
          <w:p>
            <w:pPr>
              <w:spacing w:after="0"/>
              <w:rPr>
                <w:sz w:val="9"/>
                <w:szCs w:val="9"/>
                <w:color w:val="auto"/>
              </w:rPr>
            </w:pPr>
          </w:p>
        </w:tc>
      </w:tr>
      <w:tr>
        <w:trPr>
          <w:trHeight w:val="99"/>
        </w:trPr>
        <w:tc>
          <w:tcPr>
            <w:tcW w:w="3720" w:type="dxa"/>
            <w:vAlign w:val="bottom"/>
          </w:tcPr>
          <w:p>
            <w:pPr>
              <w:jc w:val="center"/>
              <w:ind w:left="1478"/>
              <w:spacing w:after="0"/>
              <w:rPr>
                <w:sz w:val="20"/>
                <w:szCs w:val="20"/>
                <w:color w:val="auto"/>
              </w:rPr>
            </w:pPr>
            <w:r>
              <w:rPr>
                <w:rFonts w:ascii="Arial" w:cs="Arial" w:eastAsia="Arial" w:hAnsi="Arial"/>
                <w:sz w:val="8"/>
                <w:szCs w:val="8"/>
                <w:color w:val="auto"/>
                <w:w w:val="92"/>
              </w:rPr>
              <w:t>Suite 1000, Overland Park, Kansas</w:t>
            </w:r>
          </w:p>
        </w:tc>
        <w:tc>
          <w:tcPr>
            <w:tcW w:w="6580" w:type="dxa"/>
            <w:vAlign w:val="bottom"/>
            <w:gridSpan w:val="3"/>
          </w:tcPr>
          <w:p>
            <w:pPr>
              <w:jc w:val="center"/>
              <w:ind w:left="1652"/>
              <w:spacing w:after="0"/>
              <w:rPr>
                <w:sz w:val="20"/>
                <w:szCs w:val="20"/>
                <w:color w:val="auto"/>
              </w:rPr>
            </w:pPr>
            <w:r>
              <w:rPr>
                <w:rFonts w:ascii="Arial" w:cs="Arial" w:eastAsia="Arial" w:hAnsi="Arial"/>
                <w:sz w:val="8"/>
                <w:szCs w:val="8"/>
                <w:color w:val="auto"/>
                <w:w w:val="89"/>
              </w:rPr>
              <w:t>66210</w:t>
            </w:r>
          </w:p>
        </w:tc>
      </w:tr>
      <w:tr>
        <w:trPr>
          <w:trHeight w:val="94"/>
        </w:trPr>
        <w:tc>
          <w:tcPr>
            <w:tcW w:w="3720" w:type="dxa"/>
            <w:vAlign w:val="bottom"/>
            <w:tcBorders>
              <w:top w:val="single" w:sz="8" w:color="auto"/>
            </w:tcBorders>
          </w:tcPr>
          <w:p>
            <w:pPr>
              <w:jc w:val="center"/>
              <w:ind w:left="1478"/>
              <w:spacing w:after="0"/>
              <w:rPr>
                <w:sz w:val="20"/>
                <w:szCs w:val="20"/>
                <w:color w:val="auto"/>
              </w:rPr>
            </w:pPr>
            <w:r>
              <w:rPr>
                <w:rFonts w:ascii="Arial" w:cs="Arial" w:eastAsia="Arial" w:hAnsi="Arial"/>
                <w:sz w:val="8"/>
                <w:szCs w:val="8"/>
                <w:color w:val="auto"/>
                <w:w w:val="96"/>
              </w:rPr>
              <w:t>(Address of principal executive office)</w:t>
            </w:r>
          </w:p>
        </w:tc>
        <w:tc>
          <w:tcPr>
            <w:tcW w:w="1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8"/>
                <w:szCs w:val="8"/>
                <w:color w:val="auto"/>
                <w:w w:val="95"/>
              </w:rPr>
              <w:t>(Zip Code)</w:t>
            </w:r>
          </w:p>
        </w:tc>
      </w:tr>
      <w:tr>
        <w:trPr>
          <w:trHeight w:val="126"/>
        </w:trPr>
        <w:tc>
          <w:tcPr>
            <w:tcW w:w="3720" w:type="dxa"/>
            <w:vAlign w:val="bottom"/>
          </w:tcPr>
          <w:p>
            <w:pPr>
              <w:spacing w:after="0"/>
              <w:rPr>
                <w:sz w:val="10"/>
                <w:szCs w:val="10"/>
                <w:color w:val="auto"/>
              </w:rPr>
            </w:pPr>
          </w:p>
        </w:tc>
        <w:tc>
          <w:tcPr>
            <w:tcW w:w="6580" w:type="dxa"/>
            <w:vAlign w:val="bottom"/>
            <w:gridSpan w:val="3"/>
          </w:tcPr>
          <w:p>
            <w:pPr>
              <w:jc w:val="center"/>
              <w:ind w:right="3678"/>
              <w:spacing w:after="0"/>
              <w:rPr>
                <w:sz w:val="20"/>
                <w:szCs w:val="20"/>
                <w:color w:val="auto"/>
              </w:rPr>
            </w:pPr>
            <w:r>
              <w:rPr>
                <w:rFonts w:ascii="Arial" w:cs="Arial" w:eastAsia="Arial" w:hAnsi="Arial"/>
                <w:sz w:val="8"/>
                <w:szCs w:val="8"/>
                <w:color w:val="auto"/>
                <w:w w:val="95"/>
              </w:rPr>
              <w:t>Registrants’ telephone number, including area code: (913) 661-1500</w:t>
            </w:r>
          </w:p>
        </w:tc>
      </w:tr>
    </w:tbl>
    <w:p>
      <w:pPr>
        <w:spacing w:after="0" w:line="39" w:lineRule="exact"/>
        <w:rPr>
          <w:sz w:val="24"/>
          <w:szCs w:val="24"/>
          <w:color w:val="auto"/>
        </w:rPr>
      </w:pPr>
    </w:p>
    <w:p>
      <w:pPr>
        <w:ind w:left="3" w:right="260" w:firstLine="432"/>
        <w:spacing w:after="0" w:line="107" w:lineRule="exact"/>
        <w:rPr>
          <w:sz w:val="20"/>
          <w:szCs w:val="20"/>
          <w:color w:val="auto"/>
        </w:rPr>
      </w:pPr>
      <w:r>
        <w:rPr>
          <w:rFonts w:ascii="Arial" w:cs="Arial" w:eastAsia="Arial" w:hAnsi="Arial"/>
          <w:sz w:val="8"/>
          <w:szCs w:val="8"/>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1" w:lineRule="exact"/>
        <w:rPr>
          <w:sz w:val="24"/>
          <w:szCs w:val="24"/>
          <w:color w:val="auto"/>
        </w:rPr>
      </w:pPr>
    </w:p>
    <w:p>
      <w:pPr>
        <w:ind w:left="3" w:right="80" w:firstLine="432"/>
        <w:spacing w:after="0" w:line="107" w:lineRule="exact"/>
        <w:rPr>
          <w:sz w:val="20"/>
          <w:szCs w:val="20"/>
          <w:color w:val="auto"/>
        </w:rPr>
      </w:pPr>
      <w:r>
        <w:rPr>
          <w:rFonts w:ascii="Arial" w:cs="Arial" w:eastAsia="Arial" w:hAnsi="Arial"/>
          <w:sz w:val="8"/>
          <w:szCs w:val="8"/>
          <w:color w:val="auto"/>
        </w:rPr>
        <w:t xml:space="preserve">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1" w:lineRule="exact"/>
        <w:rPr>
          <w:sz w:val="24"/>
          <w:szCs w:val="24"/>
          <w:color w:val="auto"/>
        </w:rPr>
      </w:pPr>
    </w:p>
    <w:p>
      <w:pPr>
        <w:ind w:left="3" w:right="280" w:firstLine="432"/>
        <w:spacing w:after="0" w:line="268" w:lineRule="auto"/>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3" w:type="dxa"/>
        <w:tblCellMar>
          <w:top w:w="0" w:type="dxa"/>
          <w:left w:w="0" w:type="dxa"/>
          <w:bottom w:w="0" w:type="dxa"/>
          <w:right w:w="0" w:type="dxa"/>
        </w:tblCellMar>
      </w:tblPr>
      <w:tr>
        <w:trPr>
          <w:trHeight w:val="92"/>
        </w:trPr>
        <w:tc>
          <w:tcPr>
            <w:tcW w:w="1720" w:type="dxa"/>
            <w:vAlign w:val="bottom"/>
          </w:tcPr>
          <w:p>
            <w:pPr>
              <w:spacing w:after="0"/>
              <w:rPr>
                <w:sz w:val="20"/>
                <w:szCs w:val="20"/>
                <w:color w:val="auto"/>
              </w:rPr>
            </w:pPr>
            <w:r>
              <w:rPr>
                <w:rFonts w:ascii="Arial" w:cs="Arial" w:eastAsia="Arial" w:hAnsi="Arial"/>
                <w:sz w:val="8"/>
                <w:szCs w:val="8"/>
                <w:color w:val="auto"/>
              </w:rPr>
              <w:t>Ferrellgas Partners, L.P.:</w:t>
            </w:r>
          </w:p>
        </w:tc>
        <w:tc>
          <w:tcPr>
            <w:tcW w:w="2480" w:type="dxa"/>
            <w:vAlign w:val="bottom"/>
            <w:vMerge w:val="restart"/>
          </w:tcPr>
          <w:p>
            <w:pPr>
              <w:ind w:left="840"/>
              <w:spacing w:after="0" w:line="92" w:lineRule="exact"/>
              <w:rPr>
                <w:sz w:val="20"/>
                <w:szCs w:val="20"/>
                <w:color w:val="auto"/>
              </w:rPr>
            </w:pPr>
            <w:r>
              <w:rPr>
                <w:rFonts w:ascii="Arial" w:cs="Arial" w:eastAsia="Arial" w:hAnsi="Arial"/>
                <w:sz w:val="8"/>
                <w:szCs w:val="8"/>
                <w:color w:val="auto"/>
              </w:rPr>
              <w:t xml:space="preserve">Accelerated Filer </w:t>
            </w:r>
            <w:r>
              <w:rPr>
                <w:rFonts w:ascii="MS PGothic" w:cs="MS PGothic" w:eastAsia="MS PGothic" w:hAnsi="MS PGothic"/>
                <w:sz w:val="8"/>
                <w:szCs w:val="8"/>
                <w:color w:val="auto"/>
              </w:rPr>
              <w:t>☐</w:t>
            </w:r>
          </w:p>
        </w:tc>
        <w:tc>
          <w:tcPr>
            <w:tcW w:w="2640" w:type="dxa"/>
            <w:vAlign w:val="bottom"/>
            <w:vMerge w:val="restart"/>
          </w:tcPr>
          <w:p>
            <w:pPr>
              <w:ind w:left="940"/>
              <w:spacing w:after="0" w:line="92" w:lineRule="exact"/>
              <w:rPr>
                <w:sz w:val="20"/>
                <w:szCs w:val="20"/>
                <w:color w:val="auto"/>
              </w:rPr>
            </w:pPr>
            <w:r>
              <w:rPr>
                <w:rFonts w:ascii="Arial" w:cs="Arial" w:eastAsia="Arial" w:hAnsi="Arial"/>
                <w:sz w:val="8"/>
                <w:szCs w:val="8"/>
                <w:color w:val="auto"/>
              </w:rPr>
              <w:t xml:space="preserve">Non-accelerated Filer </w:t>
            </w:r>
            <w:r>
              <w:rPr>
                <w:rFonts w:ascii="MS PGothic" w:cs="MS PGothic" w:eastAsia="MS PGothic" w:hAnsi="MS PGothic"/>
                <w:sz w:val="8"/>
                <w:szCs w:val="8"/>
                <w:color w:val="auto"/>
              </w:rPr>
              <w:t>☒</w:t>
            </w:r>
          </w:p>
        </w:tc>
        <w:tc>
          <w:tcPr>
            <w:tcW w:w="1920" w:type="dxa"/>
            <w:vAlign w:val="bottom"/>
            <w:vMerge w:val="restart"/>
          </w:tcPr>
          <w:p>
            <w:pPr>
              <w:ind w:left="860"/>
              <w:spacing w:after="0" w:line="92" w:lineRule="exact"/>
              <w:rPr>
                <w:sz w:val="20"/>
                <w:szCs w:val="20"/>
                <w:color w:val="auto"/>
              </w:rPr>
            </w:pPr>
            <w:r>
              <w:rPr>
                <w:rFonts w:ascii="Arial" w:cs="Arial" w:eastAsia="Arial" w:hAnsi="Arial"/>
                <w:sz w:val="8"/>
                <w:szCs w:val="8"/>
                <w:color w:val="auto"/>
                <w:w w:val="93"/>
              </w:rPr>
              <w:t xml:space="preserve">Smaller Reporting Company </w:t>
            </w:r>
            <w:r>
              <w:rPr>
                <w:rFonts w:ascii="MS PGothic" w:cs="MS PGothic" w:eastAsia="MS PGothic" w:hAnsi="MS PGothic"/>
                <w:sz w:val="8"/>
                <w:szCs w:val="8"/>
                <w:color w:val="auto"/>
                <w:w w:val="93"/>
              </w:rPr>
              <w:t>☒</w:t>
            </w:r>
          </w:p>
        </w:tc>
        <w:tc>
          <w:tcPr>
            <w:tcW w:w="0" w:type="dxa"/>
            <w:vAlign w:val="bottom"/>
          </w:tcPr>
          <w:p>
            <w:pPr>
              <w:spacing w:after="0"/>
              <w:rPr>
                <w:sz w:val="1"/>
                <w:szCs w:val="1"/>
                <w:color w:val="auto"/>
              </w:rPr>
            </w:pPr>
          </w:p>
        </w:tc>
      </w:tr>
      <w:tr>
        <w:trPr>
          <w:trHeight w:val="99"/>
        </w:trPr>
        <w:tc>
          <w:tcPr>
            <w:tcW w:w="1720" w:type="dxa"/>
            <w:vAlign w:val="bottom"/>
          </w:tcPr>
          <w:p>
            <w:pPr>
              <w:spacing w:after="0" w:line="92" w:lineRule="exact"/>
              <w:rPr>
                <w:sz w:val="20"/>
                <w:szCs w:val="20"/>
                <w:color w:val="auto"/>
              </w:rPr>
            </w:pPr>
            <w:r>
              <w:rPr>
                <w:rFonts w:ascii="Arial" w:cs="Arial" w:eastAsia="Arial" w:hAnsi="Arial"/>
                <w:sz w:val="8"/>
                <w:szCs w:val="8"/>
                <w:color w:val="auto"/>
              </w:rPr>
              <w:t xml:space="preserve">Large Accelerated Filer </w:t>
            </w:r>
            <w:r>
              <w:rPr>
                <w:rFonts w:ascii="MS PGothic" w:cs="MS PGothic" w:eastAsia="MS PGothic" w:hAnsi="MS PGothic"/>
                <w:sz w:val="8"/>
                <w:szCs w:val="8"/>
                <w:color w:val="auto"/>
              </w:rPr>
              <w:t>☐</w:t>
            </w:r>
          </w:p>
        </w:tc>
        <w:tc>
          <w:tcPr>
            <w:tcW w:w="248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20" w:type="dxa"/>
            <w:vAlign w:val="bottom"/>
          </w:tcPr>
          <w:p>
            <w:pPr>
              <w:ind w:left="860"/>
              <w:spacing w:after="0" w:line="92" w:lineRule="exact"/>
              <w:rPr>
                <w:sz w:val="20"/>
                <w:szCs w:val="20"/>
                <w:color w:val="auto"/>
              </w:rPr>
            </w:pPr>
            <w:r>
              <w:rPr>
                <w:rFonts w:ascii="Arial" w:cs="Arial" w:eastAsia="Arial" w:hAnsi="Arial"/>
                <w:sz w:val="8"/>
                <w:szCs w:val="8"/>
                <w:color w:val="auto"/>
                <w:w w:val="95"/>
              </w:rPr>
              <w:t xml:space="preserve">Emerging Growth Company </w:t>
            </w:r>
            <w:r>
              <w:rPr>
                <w:rFonts w:ascii="MS PGothic" w:cs="MS PGothic" w:eastAsia="MS PGothic" w:hAnsi="MS PGothic"/>
                <w:sz w:val="8"/>
                <w:szCs w:val="8"/>
                <w:color w:val="auto"/>
                <w:w w:val="95"/>
              </w:rPr>
              <w:t>☐</w:t>
            </w:r>
          </w:p>
        </w:tc>
        <w:tc>
          <w:tcPr>
            <w:tcW w:w="0" w:type="dxa"/>
            <w:vAlign w:val="bottom"/>
          </w:tcPr>
          <w:p>
            <w:pPr>
              <w:spacing w:after="0"/>
              <w:rPr>
                <w:sz w:val="1"/>
                <w:szCs w:val="1"/>
                <w:color w:val="auto"/>
              </w:rPr>
            </w:pPr>
          </w:p>
        </w:tc>
      </w:tr>
      <w:tr>
        <w:trPr>
          <w:trHeight w:val="101"/>
        </w:trPr>
        <w:tc>
          <w:tcPr>
            <w:tcW w:w="4200" w:type="dxa"/>
            <w:vAlign w:val="bottom"/>
            <w:gridSpan w:val="2"/>
          </w:tcPr>
          <w:p>
            <w:pPr>
              <w:spacing w:after="0"/>
              <w:rPr>
                <w:sz w:val="20"/>
                <w:szCs w:val="20"/>
                <w:color w:val="auto"/>
              </w:rPr>
            </w:pPr>
            <w:r>
              <w:rPr>
                <w:rFonts w:ascii="Arial" w:cs="Arial" w:eastAsia="Arial" w:hAnsi="Arial"/>
                <w:sz w:val="8"/>
                <w:szCs w:val="8"/>
                <w:color w:val="auto"/>
              </w:rPr>
              <w:t>Ferrellgas Partners Finance Corp, Ferrellgas, L.P. and Ferrellgas Finance Corp.:</w:t>
            </w:r>
          </w:p>
        </w:tc>
        <w:tc>
          <w:tcPr>
            <w:tcW w:w="2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20" w:type="dxa"/>
            <w:vAlign w:val="bottom"/>
          </w:tcPr>
          <w:p>
            <w:pPr>
              <w:spacing w:after="0" w:line="92" w:lineRule="exact"/>
              <w:rPr>
                <w:sz w:val="20"/>
                <w:szCs w:val="20"/>
                <w:color w:val="auto"/>
              </w:rPr>
            </w:pPr>
            <w:r>
              <w:rPr>
                <w:rFonts w:ascii="Arial" w:cs="Arial" w:eastAsia="Arial" w:hAnsi="Arial"/>
                <w:sz w:val="8"/>
                <w:szCs w:val="8"/>
                <w:color w:val="auto"/>
              </w:rPr>
              <w:t xml:space="preserve">Large Accelerated Filer </w:t>
            </w:r>
            <w:r>
              <w:rPr>
                <w:rFonts w:ascii="MS PGothic" w:cs="MS PGothic" w:eastAsia="MS PGothic" w:hAnsi="MS PGothic"/>
                <w:sz w:val="8"/>
                <w:szCs w:val="8"/>
                <w:color w:val="auto"/>
              </w:rPr>
              <w:t>☐</w:t>
            </w:r>
          </w:p>
        </w:tc>
        <w:tc>
          <w:tcPr>
            <w:tcW w:w="2480" w:type="dxa"/>
            <w:vAlign w:val="bottom"/>
          </w:tcPr>
          <w:p>
            <w:pPr>
              <w:ind w:left="840"/>
              <w:spacing w:after="0" w:line="104" w:lineRule="exact"/>
              <w:rPr>
                <w:sz w:val="20"/>
                <w:szCs w:val="20"/>
                <w:color w:val="auto"/>
              </w:rPr>
            </w:pPr>
            <w:r>
              <w:rPr>
                <w:rFonts w:ascii="Arial" w:cs="Arial" w:eastAsia="Arial" w:hAnsi="Arial"/>
                <w:sz w:val="8"/>
                <w:szCs w:val="8"/>
                <w:color w:val="auto"/>
              </w:rPr>
              <w:t xml:space="preserve">Accelerated Filer </w:t>
            </w:r>
            <w:r>
              <w:rPr>
                <w:rFonts w:ascii="MS PGothic" w:cs="MS PGothic" w:eastAsia="MS PGothic" w:hAnsi="MS PGothic"/>
                <w:sz w:val="9"/>
                <w:szCs w:val="9"/>
                <w:color w:val="auto"/>
              </w:rPr>
              <w:t>☐</w:t>
            </w:r>
          </w:p>
        </w:tc>
        <w:tc>
          <w:tcPr>
            <w:tcW w:w="2640" w:type="dxa"/>
            <w:vAlign w:val="bottom"/>
          </w:tcPr>
          <w:p>
            <w:pPr>
              <w:ind w:left="940"/>
              <w:spacing w:after="0" w:line="92" w:lineRule="exact"/>
              <w:rPr>
                <w:sz w:val="20"/>
                <w:szCs w:val="20"/>
                <w:color w:val="auto"/>
              </w:rPr>
            </w:pPr>
            <w:r>
              <w:rPr>
                <w:rFonts w:ascii="Arial" w:cs="Arial" w:eastAsia="Arial" w:hAnsi="Arial"/>
                <w:sz w:val="8"/>
                <w:szCs w:val="8"/>
                <w:color w:val="auto"/>
              </w:rPr>
              <w:t xml:space="preserve">Non-accelerated Filer </w:t>
            </w:r>
            <w:r>
              <w:rPr>
                <w:rFonts w:ascii="MS PGothic" w:cs="MS PGothic" w:eastAsia="MS PGothic" w:hAnsi="MS PGothic"/>
                <w:sz w:val="8"/>
                <w:szCs w:val="8"/>
                <w:color w:val="auto"/>
              </w:rPr>
              <w:t>☒</w:t>
            </w:r>
          </w:p>
        </w:tc>
        <w:tc>
          <w:tcPr>
            <w:tcW w:w="1920" w:type="dxa"/>
            <w:vAlign w:val="bottom"/>
          </w:tcPr>
          <w:p>
            <w:pPr>
              <w:ind w:left="860"/>
              <w:spacing w:after="0" w:line="92" w:lineRule="exact"/>
              <w:rPr>
                <w:sz w:val="20"/>
                <w:szCs w:val="20"/>
                <w:color w:val="auto"/>
              </w:rPr>
            </w:pPr>
            <w:r>
              <w:rPr>
                <w:rFonts w:ascii="Arial" w:cs="Arial" w:eastAsia="Arial" w:hAnsi="Arial"/>
                <w:sz w:val="8"/>
                <w:szCs w:val="8"/>
                <w:color w:val="auto"/>
                <w:w w:val="93"/>
              </w:rPr>
              <w:t xml:space="preserve">Smaller Reporting Company </w:t>
            </w:r>
            <w:r>
              <w:rPr>
                <w:rFonts w:ascii="MS PGothic" w:cs="MS PGothic" w:eastAsia="MS PGothic" w:hAnsi="MS PGothic"/>
                <w:sz w:val="8"/>
                <w:szCs w:val="8"/>
                <w:color w:val="auto"/>
                <w:w w:val="93"/>
              </w:rPr>
              <w:t>☒</w:t>
            </w: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20" w:type="dxa"/>
            <w:vAlign w:val="bottom"/>
          </w:tcPr>
          <w:p>
            <w:pPr>
              <w:ind w:left="860"/>
              <w:spacing w:after="0" w:line="92" w:lineRule="exact"/>
              <w:rPr>
                <w:sz w:val="20"/>
                <w:szCs w:val="20"/>
                <w:color w:val="auto"/>
              </w:rPr>
            </w:pPr>
            <w:r>
              <w:rPr>
                <w:rFonts w:ascii="Arial" w:cs="Arial" w:eastAsia="Arial" w:hAnsi="Arial"/>
                <w:sz w:val="8"/>
                <w:szCs w:val="8"/>
                <w:color w:val="auto"/>
                <w:w w:val="95"/>
              </w:rPr>
              <w:t xml:space="preserve">Emerging Growth Company </w:t>
            </w:r>
            <w:r>
              <w:rPr>
                <w:rFonts w:ascii="MS PGothic" w:cs="MS PGothic" w:eastAsia="MS PGothic" w:hAnsi="MS PGothic"/>
                <w:sz w:val="8"/>
                <w:szCs w:val="8"/>
                <w:color w:val="auto"/>
                <w:w w:val="95"/>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23"/>
        <w:spacing w:after="0"/>
        <w:rPr>
          <w:sz w:val="20"/>
          <w:szCs w:val="20"/>
          <w:color w:val="auto"/>
        </w:rPr>
      </w:pPr>
      <w:r>
        <w:rPr>
          <w:rFonts w:ascii="Arial" w:cs="Arial" w:eastAsia="Arial" w:hAnsi="Arial"/>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4" w:lineRule="exact"/>
        <w:rPr>
          <w:sz w:val="24"/>
          <w:szCs w:val="24"/>
          <w:color w:val="auto"/>
        </w:rPr>
      </w:pPr>
    </w:p>
    <w:p>
      <w:pPr>
        <w:ind w:left="483"/>
        <w:spacing w:after="0" w:line="92" w:lineRule="exact"/>
        <w:rPr>
          <w:sz w:val="20"/>
          <w:szCs w:val="20"/>
          <w:color w:val="auto"/>
        </w:rPr>
      </w:pPr>
      <w:r>
        <w:rPr>
          <w:rFonts w:ascii="Arial" w:cs="Arial" w:eastAsia="Arial" w:hAnsi="Arial"/>
          <w:sz w:val="8"/>
          <w:szCs w:val="8"/>
          <w:color w:val="auto"/>
        </w:rPr>
        <w:t xml:space="preserve">Ferrellgas Partners, L.P. and Ferrellgas, L.P. </w:t>
      </w:r>
      <w:r>
        <w:rPr>
          <w:rFonts w:ascii="MS PGothic" w:cs="MS PGothic" w:eastAsia="MS PGothic" w:hAnsi="MS PGothic"/>
          <w:sz w:val="8"/>
          <w:szCs w:val="8"/>
          <w:color w:val="auto"/>
        </w:rPr>
        <w:t>☐</w:t>
      </w:r>
    </w:p>
    <w:p>
      <w:pPr>
        <w:spacing w:after="0" w:line="52" w:lineRule="exact"/>
        <w:rPr>
          <w:sz w:val="24"/>
          <w:szCs w:val="24"/>
          <w:color w:val="auto"/>
        </w:rPr>
      </w:pPr>
    </w:p>
    <w:p>
      <w:pPr>
        <w:ind w:left="483"/>
        <w:spacing w:after="0" w:line="92" w:lineRule="exact"/>
        <w:rPr>
          <w:sz w:val="20"/>
          <w:szCs w:val="20"/>
          <w:color w:val="auto"/>
        </w:rPr>
      </w:pPr>
      <w:r>
        <w:rPr>
          <w:rFonts w:ascii="Arial" w:cs="Arial" w:eastAsia="Arial" w:hAnsi="Arial"/>
          <w:sz w:val="8"/>
          <w:szCs w:val="8"/>
          <w:color w:val="auto"/>
        </w:rPr>
        <w:t xml:space="preserve">Ferrellgas Partners Finance Corp. and Ferrellgas Finance Corp. </w:t>
      </w:r>
      <w:r>
        <w:rPr>
          <w:rFonts w:ascii="MS PGothic" w:cs="MS PGothic" w:eastAsia="MS PGothic" w:hAnsi="MS PGothic"/>
          <w:sz w:val="8"/>
          <w:szCs w:val="8"/>
          <w:color w:val="auto"/>
        </w:rPr>
        <w:t>☐</w:t>
      </w:r>
    </w:p>
    <w:p>
      <w:pPr>
        <w:spacing w:after="0" w:line="60" w:lineRule="exact"/>
        <w:rPr>
          <w:sz w:val="24"/>
          <w:szCs w:val="24"/>
          <w:color w:val="auto"/>
        </w:rPr>
      </w:pPr>
    </w:p>
    <w:p>
      <w:pPr>
        <w:ind w:left="423"/>
        <w:spacing w:after="0"/>
        <w:rPr>
          <w:sz w:val="20"/>
          <w:szCs w:val="20"/>
          <w:color w:val="auto"/>
        </w:rPr>
      </w:pPr>
      <w:r>
        <w:rPr>
          <w:rFonts w:ascii="Arial" w:cs="Arial" w:eastAsia="Arial" w:hAnsi="Arial"/>
          <w:sz w:val="8"/>
          <w:szCs w:val="8"/>
          <w:color w:val="auto"/>
        </w:rPr>
        <w:t>Indicate by check mark whether the registrants are shell companies (as defined in Rule 12b-2 of the Exchange Act).</w:t>
      </w:r>
    </w:p>
    <w:p>
      <w:pPr>
        <w:spacing w:after="0" w:line="35" w:lineRule="exact"/>
        <w:rPr>
          <w:sz w:val="24"/>
          <w:szCs w:val="24"/>
          <w:color w:val="auto"/>
        </w:rPr>
      </w:pPr>
    </w:p>
    <w:p>
      <w:pPr>
        <w:ind w:left="483"/>
        <w:spacing w:after="0" w:line="92" w:lineRule="exact"/>
        <w:rPr>
          <w:sz w:val="20"/>
          <w:szCs w:val="20"/>
          <w:color w:val="auto"/>
        </w:rPr>
      </w:pPr>
      <w:r>
        <w:rPr>
          <w:rFonts w:ascii="Arial" w:cs="Arial" w:eastAsia="Arial" w:hAnsi="Arial"/>
          <w:sz w:val="8"/>
          <w:szCs w:val="8"/>
          <w:color w:val="auto"/>
        </w:rPr>
        <w:t xml:space="preserve">Ferrellgas Partners, L.P. and Ferrellgas, L.P.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61" w:lineRule="exact"/>
        <w:rPr>
          <w:sz w:val="24"/>
          <w:szCs w:val="24"/>
          <w:color w:val="auto"/>
        </w:rPr>
      </w:pPr>
    </w:p>
    <w:p>
      <w:pPr>
        <w:ind w:left="483"/>
        <w:spacing w:after="0" w:line="92" w:lineRule="exact"/>
        <w:rPr>
          <w:sz w:val="20"/>
          <w:szCs w:val="20"/>
          <w:color w:val="auto"/>
        </w:rPr>
      </w:pPr>
      <w:r>
        <w:rPr>
          <w:rFonts w:ascii="Arial" w:cs="Arial" w:eastAsia="Arial" w:hAnsi="Arial"/>
          <w:sz w:val="8"/>
          <w:szCs w:val="8"/>
          <w:color w:val="auto"/>
        </w:rPr>
        <w:t xml:space="preserve">Ferrellgas Partners Finance Corp. and Ferrellgas Finance Corp.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60" w:lineRule="exact"/>
        <w:rPr>
          <w:sz w:val="24"/>
          <w:szCs w:val="24"/>
          <w:color w:val="auto"/>
        </w:rPr>
      </w:pPr>
    </w:p>
    <w:p>
      <w:pPr>
        <w:ind w:left="423"/>
        <w:spacing w:after="0"/>
        <w:rPr>
          <w:sz w:val="20"/>
          <w:szCs w:val="20"/>
          <w:color w:val="auto"/>
        </w:rPr>
      </w:pPr>
      <w:r>
        <w:rPr>
          <w:rFonts w:ascii="Arial" w:cs="Arial" w:eastAsia="Arial" w:hAnsi="Arial"/>
          <w:sz w:val="8"/>
          <w:szCs w:val="8"/>
          <w:color w:val="auto"/>
        </w:rPr>
        <w:t>Indicate by check mark whether the registrants have filed all documents and reports required to be filed by Sections 12, 13 or 15(d) of the Securities Exchange Act of 1934 subsequent to the distribution of securities under a plan confirmed by a court.</w:t>
      </w:r>
    </w:p>
    <w:p>
      <w:pPr>
        <w:spacing w:after="0" w:line="38" w:lineRule="exact"/>
        <w:rPr>
          <w:sz w:val="24"/>
          <w:szCs w:val="24"/>
          <w:color w:val="auto"/>
        </w:rPr>
      </w:pPr>
    </w:p>
    <w:p>
      <w:pPr>
        <w:ind w:left="483"/>
        <w:spacing w:after="0" w:line="92" w:lineRule="exact"/>
        <w:rPr>
          <w:sz w:val="20"/>
          <w:szCs w:val="20"/>
          <w:color w:val="auto"/>
        </w:rPr>
      </w:pPr>
      <w:r>
        <w:rPr>
          <w:rFonts w:ascii="Arial" w:cs="Arial" w:eastAsia="Arial" w:hAnsi="Arial"/>
          <w:sz w:val="8"/>
          <w:szCs w:val="8"/>
          <w:color w:val="auto"/>
        </w:rPr>
        <w:t xml:space="preserve">Ferrellgas Partners, L.P. and Ferrellgas Partners Finance Corp.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66" w:lineRule="exact"/>
        <w:rPr>
          <w:sz w:val="24"/>
          <w:szCs w:val="24"/>
          <w:color w:val="auto"/>
        </w:rPr>
      </w:pPr>
    </w:p>
    <w:p>
      <w:pPr>
        <w:ind w:left="483"/>
        <w:spacing w:after="0"/>
        <w:rPr>
          <w:sz w:val="20"/>
          <w:szCs w:val="20"/>
          <w:color w:val="auto"/>
        </w:rPr>
      </w:pPr>
      <w:r>
        <w:rPr>
          <w:rFonts w:ascii="Arial" w:cs="Arial" w:eastAsia="Arial" w:hAnsi="Arial"/>
          <w:sz w:val="8"/>
          <w:szCs w:val="8"/>
          <w:color w:val="auto"/>
        </w:rPr>
        <w:t>Ferrellgas, L.P. and Ferrellgas Finance Corp. N/A</w:t>
      </w:r>
    </w:p>
    <w:p>
      <w:pPr>
        <w:spacing w:after="0" w:line="43" w:lineRule="exact"/>
        <w:rPr>
          <w:sz w:val="24"/>
          <w:szCs w:val="24"/>
          <w:color w:val="auto"/>
        </w:rPr>
      </w:pPr>
    </w:p>
    <w:p>
      <w:pPr>
        <w:jc w:val="center"/>
        <w:ind w:right="-2"/>
        <w:spacing w:after="0"/>
        <w:rPr>
          <w:sz w:val="20"/>
          <w:szCs w:val="20"/>
          <w:color w:val="auto"/>
        </w:rPr>
      </w:pPr>
      <w:r>
        <w:rPr>
          <w:rFonts w:ascii="Arial" w:cs="Arial" w:eastAsia="Arial" w:hAnsi="Arial"/>
          <w:sz w:val="8"/>
          <w:szCs w:val="8"/>
          <w:color w:val="auto"/>
        </w:rPr>
        <w:t>Securities registered pursuant to Section 12(b) of the Act:</w:t>
      </w:r>
    </w:p>
    <w:p>
      <w:pPr>
        <w:spacing w:after="0" w:line="52" w:lineRule="exact"/>
        <w:rPr>
          <w:sz w:val="24"/>
          <w:szCs w:val="24"/>
          <w:color w:val="auto"/>
        </w:rPr>
      </w:pPr>
    </w:p>
    <w:tbl>
      <w:tblPr>
        <w:tblLayout w:type="fixed"/>
        <w:tblInd w:w="483" w:type="dxa"/>
        <w:tblCellMar>
          <w:top w:w="0" w:type="dxa"/>
          <w:left w:w="0" w:type="dxa"/>
          <w:bottom w:w="0" w:type="dxa"/>
          <w:right w:w="0" w:type="dxa"/>
        </w:tblCellMar>
      </w:tblPr>
      <w:tr>
        <w:trPr>
          <w:trHeight w:val="90"/>
        </w:trPr>
        <w:tc>
          <w:tcPr>
            <w:tcW w:w="560" w:type="dxa"/>
            <w:vAlign w:val="bottom"/>
          </w:tcPr>
          <w:p>
            <w:pPr>
              <w:spacing w:after="0"/>
              <w:rPr>
                <w:sz w:val="7"/>
                <w:szCs w:val="7"/>
                <w:color w:val="auto"/>
              </w:rPr>
            </w:pPr>
          </w:p>
        </w:tc>
        <w:tc>
          <w:tcPr>
            <w:tcW w:w="3620" w:type="dxa"/>
            <w:vAlign w:val="bottom"/>
            <w:gridSpan w:val="3"/>
          </w:tcPr>
          <w:p>
            <w:pPr>
              <w:jc w:val="center"/>
              <w:ind w:right="920"/>
              <w:spacing w:after="0"/>
              <w:rPr>
                <w:sz w:val="20"/>
                <w:szCs w:val="20"/>
                <w:color w:val="auto"/>
              </w:rPr>
            </w:pPr>
            <w:r>
              <w:rPr>
                <w:rFonts w:ascii="Arial" w:cs="Arial" w:eastAsia="Arial" w:hAnsi="Arial"/>
                <w:sz w:val="7"/>
                <w:szCs w:val="7"/>
                <w:b w:val="1"/>
                <w:bCs w:val="1"/>
                <w:color w:val="auto"/>
                <w:w w:val="92"/>
              </w:rPr>
              <w:t>Title of each class:</w:t>
            </w:r>
          </w:p>
        </w:tc>
        <w:tc>
          <w:tcPr>
            <w:tcW w:w="1860" w:type="dxa"/>
            <w:vAlign w:val="bottom"/>
            <w:gridSpan w:val="2"/>
          </w:tcPr>
          <w:p>
            <w:pPr>
              <w:jc w:val="center"/>
              <w:ind w:right="920"/>
              <w:spacing w:after="0"/>
              <w:rPr>
                <w:sz w:val="20"/>
                <w:szCs w:val="20"/>
                <w:color w:val="auto"/>
              </w:rPr>
            </w:pPr>
            <w:r>
              <w:rPr>
                <w:rFonts w:ascii="Arial" w:cs="Arial" w:eastAsia="Arial" w:hAnsi="Arial"/>
                <w:sz w:val="7"/>
                <w:szCs w:val="7"/>
                <w:b w:val="1"/>
                <w:bCs w:val="1"/>
                <w:color w:val="auto"/>
                <w:w w:val="94"/>
              </w:rPr>
              <w:t>Trading Symbol</w:t>
            </w:r>
          </w:p>
        </w:tc>
        <w:tc>
          <w:tcPr>
            <w:tcW w:w="2740" w:type="dxa"/>
            <w:vAlign w:val="bottom"/>
          </w:tcPr>
          <w:p>
            <w:pPr>
              <w:jc w:val="center"/>
              <w:spacing w:after="0"/>
              <w:rPr>
                <w:sz w:val="20"/>
                <w:szCs w:val="20"/>
                <w:color w:val="auto"/>
              </w:rPr>
            </w:pPr>
            <w:r>
              <w:rPr>
                <w:rFonts w:ascii="Arial" w:cs="Arial" w:eastAsia="Arial" w:hAnsi="Arial"/>
                <w:sz w:val="7"/>
                <w:szCs w:val="7"/>
                <w:b w:val="1"/>
                <w:bCs w:val="1"/>
                <w:color w:val="auto"/>
                <w:w w:val="90"/>
              </w:rPr>
              <w:t>Name of each exchange on which registered:</w:t>
            </w:r>
          </w:p>
        </w:tc>
      </w:tr>
      <w:tr>
        <w:trPr>
          <w:trHeight w:val="94"/>
        </w:trPr>
        <w:tc>
          <w:tcPr>
            <w:tcW w:w="560" w:type="dxa"/>
            <w:vAlign w:val="bottom"/>
          </w:tcPr>
          <w:p>
            <w:pPr>
              <w:spacing w:after="0"/>
              <w:rPr>
                <w:sz w:val="8"/>
                <w:szCs w:val="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8"/>
                <w:szCs w:val="8"/>
                <w:color w:val="auto"/>
              </w:rPr>
              <w:t>N/A</w:t>
            </w: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jc w:val="center"/>
              <w:ind w:right="719"/>
              <w:spacing w:after="0"/>
              <w:rPr>
                <w:sz w:val="20"/>
                <w:szCs w:val="20"/>
                <w:color w:val="auto"/>
              </w:rPr>
            </w:pPr>
            <w:r>
              <w:rPr>
                <w:rFonts w:ascii="Arial" w:cs="Arial" w:eastAsia="Arial" w:hAnsi="Arial"/>
                <w:sz w:val="8"/>
                <w:szCs w:val="8"/>
                <w:color w:val="auto"/>
              </w:rPr>
              <w:t>N/A</w:t>
            </w:r>
          </w:p>
        </w:tc>
        <w:tc>
          <w:tcPr>
            <w:tcW w:w="160" w:type="dxa"/>
            <w:vAlign w:val="bottom"/>
          </w:tcPr>
          <w:p>
            <w:pPr>
              <w:spacing w:after="0"/>
              <w:rPr>
                <w:sz w:val="8"/>
                <w:szCs w:val="8"/>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135"/>
        </w:trPr>
        <w:tc>
          <w:tcPr>
            <w:tcW w:w="4180" w:type="dxa"/>
            <w:vAlign w:val="bottom"/>
            <w:gridSpan w:val="4"/>
          </w:tcPr>
          <w:p>
            <w:pPr>
              <w:spacing w:after="0"/>
              <w:rPr>
                <w:sz w:val="20"/>
                <w:szCs w:val="20"/>
                <w:color w:val="auto"/>
              </w:rPr>
            </w:pPr>
            <w:r>
              <w:rPr>
                <w:rFonts w:ascii="Arial" w:cs="Arial" w:eastAsia="Arial" w:hAnsi="Arial"/>
                <w:sz w:val="8"/>
                <w:szCs w:val="8"/>
                <w:color w:val="auto"/>
              </w:rPr>
              <w:t>At May 31, 2021, the registrants had Class A Units, Class B Units or shares of common stock outstanding as follows:</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20"/>
        </w:trPr>
        <w:tc>
          <w:tcPr>
            <w:tcW w:w="4180" w:type="dxa"/>
            <w:vAlign w:val="bottom"/>
            <w:gridSpan w:val="4"/>
          </w:tcPr>
          <w:p>
            <w:pPr>
              <w:spacing w:after="0"/>
              <w:rPr>
                <w:sz w:val="20"/>
                <w:szCs w:val="20"/>
                <w:color w:val="auto"/>
              </w:rPr>
            </w:pPr>
            <w:r>
              <w:rPr>
                <w:rFonts w:ascii="Arial" w:cs="Arial" w:eastAsia="Arial" w:hAnsi="Arial"/>
                <w:sz w:val="8"/>
                <w:szCs w:val="8"/>
                <w:color w:val="auto"/>
              </w:rPr>
              <w:t>Ferrellgas Partners, L.P.</w:t>
            </w:r>
          </w:p>
        </w:tc>
        <w:tc>
          <w:tcPr>
            <w:tcW w:w="1700" w:type="dxa"/>
            <w:vAlign w:val="bottom"/>
          </w:tcPr>
          <w:p>
            <w:pPr>
              <w:jc w:val="center"/>
              <w:ind w:right="679"/>
              <w:spacing w:after="0"/>
              <w:rPr>
                <w:sz w:val="20"/>
                <w:szCs w:val="20"/>
                <w:color w:val="auto"/>
              </w:rPr>
            </w:pPr>
            <w:r>
              <w:rPr>
                <w:rFonts w:ascii="Arial" w:cs="Arial" w:eastAsia="Arial" w:hAnsi="Arial"/>
                <w:sz w:val="8"/>
                <w:szCs w:val="8"/>
                <w:color w:val="auto"/>
                <w:w w:val="95"/>
              </w:rPr>
              <w:t>4,857,605</w:t>
            </w:r>
          </w:p>
        </w:tc>
        <w:tc>
          <w:tcPr>
            <w:tcW w:w="160" w:type="dxa"/>
            <w:vAlign w:val="bottom"/>
          </w:tcPr>
          <w:p>
            <w:pPr>
              <w:spacing w:after="0"/>
              <w:rPr>
                <w:sz w:val="10"/>
                <w:szCs w:val="10"/>
                <w:color w:val="auto"/>
              </w:rPr>
            </w:pPr>
          </w:p>
        </w:tc>
        <w:tc>
          <w:tcPr>
            <w:tcW w:w="2740" w:type="dxa"/>
            <w:vAlign w:val="bottom"/>
          </w:tcPr>
          <w:p>
            <w:pPr>
              <w:jc w:val="center"/>
              <w:ind w:left="1319"/>
              <w:spacing w:after="0"/>
              <w:rPr>
                <w:sz w:val="20"/>
                <w:szCs w:val="20"/>
                <w:color w:val="auto"/>
              </w:rPr>
            </w:pPr>
            <w:r>
              <w:rPr>
                <w:rFonts w:ascii="Arial" w:cs="Arial" w:eastAsia="Arial" w:hAnsi="Arial"/>
                <w:sz w:val="8"/>
                <w:szCs w:val="8"/>
                <w:color w:val="auto"/>
                <w:w w:val="95"/>
              </w:rPr>
              <w:t>Class A Units</w:t>
            </w:r>
          </w:p>
        </w:tc>
      </w:tr>
      <w:tr>
        <w:trPr>
          <w:trHeight w:val="90"/>
        </w:trPr>
        <w:tc>
          <w:tcPr>
            <w:tcW w:w="5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00" w:type="dxa"/>
            <w:vAlign w:val="bottom"/>
          </w:tcPr>
          <w:p>
            <w:pPr>
              <w:jc w:val="center"/>
              <w:ind w:right="679"/>
              <w:spacing w:after="0" w:line="90" w:lineRule="exact"/>
              <w:rPr>
                <w:sz w:val="20"/>
                <w:szCs w:val="20"/>
                <w:color w:val="auto"/>
              </w:rPr>
            </w:pPr>
            <w:r>
              <w:rPr>
                <w:rFonts w:ascii="Arial" w:cs="Arial" w:eastAsia="Arial" w:hAnsi="Arial"/>
                <w:sz w:val="8"/>
                <w:szCs w:val="8"/>
                <w:color w:val="auto"/>
                <w:w w:val="95"/>
              </w:rPr>
              <w:t>1,300,000</w:t>
            </w:r>
          </w:p>
        </w:tc>
        <w:tc>
          <w:tcPr>
            <w:tcW w:w="160" w:type="dxa"/>
            <w:vAlign w:val="bottom"/>
          </w:tcPr>
          <w:p>
            <w:pPr>
              <w:spacing w:after="0"/>
              <w:rPr>
                <w:sz w:val="7"/>
                <w:szCs w:val="7"/>
                <w:color w:val="auto"/>
              </w:rPr>
            </w:pPr>
          </w:p>
        </w:tc>
        <w:tc>
          <w:tcPr>
            <w:tcW w:w="2740" w:type="dxa"/>
            <w:vAlign w:val="bottom"/>
          </w:tcPr>
          <w:p>
            <w:pPr>
              <w:jc w:val="center"/>
              <w:ind w:left="1319"/>
              <w:spacing w:after="0" w:line="90" w:lineRule="exact"/>
              <w:rPr>
                <w:sz w:val="20"/>
                <w:szCs w:val="20"/>
                <w:color w:val="auto"/>
              </w:rPr>
            </w:pPr>
            <w:r>
              <w:rPr>
                <w:rFonts w:ascii="Arial" w:cs="Arial" w:eastAsia="Arial" w:hAnsi="Arial"/>
                <w:sz w:val="8"/>
                <w:szCs w:val="8"/>
                <w:color w:val="auto"/>
                <w:w w:val="95"/>
              </w:rPr>
              <w:t>Class B Units</w:t>
            </w:r>
          </w:p>
        </w:tc>
      </w:tr>
      <w:tr>
        <w:trPr>
          <w:trHeight w:val="90"/>
        </w:trPr>
        <w:tc>
          <w:tcPr>
            <w:tcW w:w="4180" w:type="dxa"/>
            <w:vAlign w:val="bottom"/>
            <w:gridSpan w:val="4"/>
          </w:tcPr>
          <w:p>
            <w:pPr>
              <w:spacing w:after="0" w:line="90" w:lineRule="exact"/>
              <w:rPr>
                <w:sz w:val="20"/>
                <w:szCs w:val="20"/>
                <w:color w:val="auto"/>
              </w:rPr>
            </w:pPr>
            <w:r>
              <w:rPr>
                <w:rFonts w:ascii="Arial" w:cs="Arial" w:eastAsia="Arial" w:hAnsi="Arial"/>
                <w:sz w:val="8"/>
                <w:szCs w:val="8"/>
                <w:color w:val="auto"/>
              </w:rPr>
              <w:t>Ferrellgas Partners Finance Corp.</w:t>
            </w:r>
          </w:p>
        </w:tc>
        <w:tc>
          <w:tcPr>
            <w:tcW w:w="1700" w:type="dxa"/>
            <w:vAlign w:val="bottom"/>
          </w:tcPr>
          <w:p>
            <w:pPr>
              <w:jc w:val="center"/>
              <w:ind w:right="699"/>
              <w:spacing w:after="0" w:line="90" w:lineRule="exact"/>
              <w:rPr>
                <w:sz w:val="20"/>
                <w:szCs w:val="20"/>
                <w:color w:val="auto"/>
              </w:rPr>
            </w:pPr>
            <w:r>
              <w:rPr>
                <w:rFonts w:ascii="Arial" w:cs="Arial" w:eastAsia="Arial" w:hAnsi="Arial"/>
                <w:sz w:val="8"/>
                <w:szCs w:val="8"/>
                <w:color w:val="auto"/>
                <w:w w:val="99"/>
              </w:rPr>
              <w:t>1,000</w:t>
            </w:r>
          </w:p>
        </w:tc>
        <w:tc>
          <w:tcPr>
            <w:tcW w:w="160" w:type="dxa"/>
            <w:vAlign w:val="bottom"/>
          </w:tcPr>
          <w:p>
            <w:pPr>
              <w:spacing w:after="0"/>
              <w:rPr>
                <w:sz w:val="7"/>
                <w:szCs w:val="7"/>
                <w:color w:val="auto"/>
              </w:rPr>
            </w:pPr>
          </w:p>
        </w:tc>
        <w:tc>
          <w:tcPr>
            <w:tcW w:w="2740" w:type="dxa"/>
            <w:vAlign w:val="bottom"/>
          </w:tcPr>
          <w:p>
            <w:pPr>
              <w:jc w:val="center"/>
              <w:ind w:left="1339"/>
              <w:spacing w:after="0" w:line="90" w:lineRule="exact"/>
              <w:rPr>
                <w:sz w:val="20"/>
                <w:szCs w:val="20"/>
                <w:color w:val="auto"/>
              </w:rPr>
            </w:pPr>
            <w:r>
              <w:rPr>
                <w:rFonts w:ascii="Arial" w:cs="Arial" w:eastAsia="Arial" w:hAnsi="Arial"/>
                <w:sz w:val="8"/>
                <w:szCs w:val="8"/>
                <w:color w:val="auto"/>
                <w:w w:val="95"/>
              </w:rPr>
              <w:t>Common Stock</w:t>
            </w:r>
          </w:p>
        </w:tc>
      </w:tr>
      <w:tr>
        <w:trPr>
          <w:trHeight w:val="90"/>
        </w:trPr>
        <w:tc>
          <w:tcPr>
            <w:tcW w:w="4180" w:type="dxa"/>
            <w:vAlign w:val="bottom"/>
            <w:gridSpan w:val="4"/>
          </w:tcPr>
          <w:p>
            <w:pPr>
              <w:spacing w:after="0" w:line="90" w:lineRule="exact"/>
              <w:rPr>
                <w:sz w:val="20"/>
                <w:szCs w:val="20"/>
                <w:color w:val="auto"/>
              </w:rPr>
            </w:pPr>
            <w:r>
              <w:rPr>
                <w:rFonts w:ascii="Arial" w:cs="Arial" w:eastAsia="Arial" w:hAnsi="Arial"/>
                <w:sz w:val="8"/>
                <w:szCs w:val="8"/>
                <w:color w:val="auto"/>
              </w:rPr>
              <w:t>Ferrellgas, L.P.</w:t>
            </w:r>
          </w:p>
        </w:tc>
        <w:tc>
          <w:tcPr>
            <w:tcW w:w="1860" w:type="dxa"/>
            <w:vAlign w:val="bottom"/>
            <w:gridSpan w:val="2"/>
          </w:tcPr>
          <w:p>
            <w:pPr>
              <w:jc w:val="center"/>
              <w:ind w:right="880"/>
              <w:spacing w:after="0" w:line="90" w:lineRule="exact"/>
              <w:rPr>
                <w:sz w:val="20"/>
                <w:szCs w:val="20"/>
                <w:color w:val="auto"/>
              </w:rPr>
            </w:pPr>
            <w:r>
              <w:rPr>
                <w:rFonts w:ascii="Arial" w:cs="Arial" w:eastAsia="Arial" w:hAnsi="Arial"/>
                <w:sz w:val="8"/>
                <w:szCs w:val="8"/>
                <w:color w:val="auto"/>
                <w:w w:val="89"/>
              </w:rPr>
              <w:t>n/a</w:t>
            </w:r>
          </w:p>
        </w:tc>
        <w:tc>
          <w:tcPr>
            <w:tcW w:w="2740" w:type="dxa"/>
            <w:vAlign w:val="bottom"/>
          </w:tcPr>
          <w:p>
            <w:pPr>
              <w:jc w:val="center"/>
              <w:ind w:left="1319"/>
              <w:spacing w:after="0" w:line="90" w:lineRule="exact"/>
              <w:rPr>
                <w:sz w:val="20"/>
                <w:szCs w:val="20"/>
                <w:color w:val="auto"/>
              </w:rPr>
            </w:pPr>
            <w:r>
              <w:rPr>
                <w:rFonts w:ascii="Arial" w:cs="Arial" w:eastAsia="Arial" w:hAnsi="Arial"/>
                <w:sz w:val="8"/>
                <w:szCs w:val="8"/>
                <w:color w:val="auto"/>
                <w:w w:val="89"/>
              </w:rPr>
              <w:t>n/a</w:t>
            </w:r>
          </w:p>
        </w:tc>
      </w:tr>
      <w:tr>
        <w:trPr>
          <w:trHeight w:val="105"/>
        </w:trPr>
        <w:tc>
          <w:tcPr>
            <w:tcW w:w="4180" w:type="dxa"/>
            <w:vAlign w:val="bottom"/>
            <w:gridSpan w:val="4"/>
          </w:tcPr>
          <w:p>
            <w:pPr>
              <w:spacing w:after="0"/>
              <w:rPr>
                <w:sz w:val="20"/>
                <w:szCs w:val="20"/>
                <w:color w:val="auto"/>
              </w:rPr>
            </w:pPr>
            <w:r>
              <w:rPr>
                <w:rFonts w:ascii="Arial" w:cs="Arial" w:eastAsia="Arial" w:hAnsi="Arial"/>
                <w:sz w:val="8"/>
                <w:szCs w:val="8"/>
                <w:color w:val="auto"/>
              </w:rPr>
              <w:t>Ferrellgas Finance Corp.</w:t>
            </w:r>
          </w:p>
        </w:tc>
        <w:tc>
          <w:tcPr>
            <w:tcW w:w="1700" w:type="dxa"/>
            <w:vAlign w:val="bottom"/>
          </w:tcPr>
          <w:p>
            <w:pPr>
              <w:jc w:val="center"/>
              <w:ind w:right="699"/>
              <w:spacing w:after="0"/>
              <w:rPr>
                <w:sz w:val="20"/>
                <w:szCs w:val="20"/>
                <w:color w:val="auto"/>
              </w:rPr>
            </w:pPr>
            <w:r>
              <w:rPr>
                <w:rFonts w:ascii="Arial" w:cs="Arial" w:eastAsia="Arial" w:hAnsi="Arial"/>
                <w:sz w:val="8"/>
                <w:szCs w:val="8"/>
                <w:color w:val="auto"/>
                <w:w w:val="99"/>
              </w:rPr>
              <w:t>1,000</w:t>
            </w:r>
          </w:p>
        </w:tc>
        <w:tc>
          <w:tcPr>
            <w:tcW w:w="160" w:type="dxa"/>
            <w:vAlign w:val="bottom"/>
          </w:tcPr>
          <w:p>
            <w:pPr>
              <w:spacing w:after="0"/>
              <w:rPr>
                <w:sz w:val="9"/>
                <w:szCs w:val="9"/>
                <w:color w:val="auto"/>
              </w:rPr>
            </w:pPr>
          </w:p>
        </w:tc>
        <w:tc>
          <w:tcPr>
            <w:tcW w:w="2740" w:type="dxa"/>
            <w:vAlign w:val="bottom"/>
          </w:tcPr>
          <w:p>
            <w:pPr>
              <w:jc w:val="center"/>
              <w:ind w:left="1339"/>
              <w:spacing w:after="0"/>
              <w:rPr>
                <w:sz w:val="20"/>
                <w:szCs w:val="20"/>
                <w:color w:val="auto"/>
              </w:rPr>
            </w:pPr>
            <w:r>
              <w:rPr>
                <w:rFonts w:ascii="Arial" w:cs="Arial" w:eastAsia="Arial" w:hAnsi="Arial"/>
                <w:sz w:val="8"/>
                <w:szCs w:val="8"/>
                <w:color w:val="auto"/>
                <w:w w:val="95"/>
              </w:rPr>
              <w:t>Common Stock</w:t>
            </w:r>
          </w:p>
        </w:tc>
      </w:tr>
    </w:tbl>
    <w:p>
      <w:pPr>
        <w:spacing w:after="0" w:line="30" w:lineRule="exact"/>
        <w:rPr>
          <w:sz w:val="24"/>
          <w:szCs w:val="24"/>
          <w:color w:val="auto"/>
        </w:rPr>
      </w:pPr>
    </w:p>
    <w:p>
      <w:pPr>
        <w:ind w:left="423"/>
        <w:spacing w:after="0"/>
        <w:rPr>
          <w:sz w:val="20"/>
          <w:szCs w:val="20"/>
          <w:color w:val="auto"/>
        </w:rPr>
      </w:pPr>
      <w:r>
        <w:rPr>
          <w:rFonts w:ascii="Arial" w:cs="Arial" w:eastAsia="Arial" w:hAnsi="Arial"/>
          <w:sz w:val="8"/>
          <w:szCs w:val="8"/>
          <w:color w:val="auto"/>
        </w:rPr>
        <w:t>Documents Incorporated by Reference: None</w:t>
      </w:r>
    </w:p>
    <w:p>
      <w:pPr>
        <w:spacing w:after="0" w:line="52" w:lineRule="exact"/>
        <w:rPr>
          <w:sz w:val="24"/>
          <w:szCs w:val="24"/>
          <w:color w:val="auto"/>
        </w:rPr>
      </w:pPr>
    </w:p>
    <w:p>
      <w:pPr>
        <w:ind w:left="3" w:right="160"/>
        <w:spacing w:after="0" w:line="268" w:lineRule="auto"/>
        <w:rPr>
          <w:sz w:val="20"/>
          <w:szCs w:val="20"/>
          <w:color w:val="auto"/>
        </w:rPr>
      </w:pPr>
      <w:r>
        <w:rPr>
          <w:rFonts w:ascii="Arial" w:cs="Arial" w:eastAsia="Arial" w:hAnsi="Arial"/>
          <w:sz w:val="8"/>
          <w:szCs w:val="8"/>
          <w:color w:val="auto"/>
        </w:rPr>
        <w:t>EACH OF FERRELLGAS PARTNERS FINANCE CORP. AND FERRELLGAS FINANCE CORP. MEET THE CONDITIONS SET FORTH IN GENERAL INSTRUCTION H(1)(A) AND (B) OF FORM 10-Q AND ARE THEREFORE, WITH RESPECT TO EACH SUCH REGISTRANT,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653796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53796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ectPr>
          <w:pgSz w:w="11900" w:h="16838" w:orient="portrait"/>
          <w:cols w:equalWidth="0" w:num="1">
            <w:col w:w="10303"/>
          </w:cols>
          <w:pgMar w:left="797" w:top="491" w:right="799" w:bottom="1440" w:gutter="0" w:footer="0" w:header="0"/>
        </w:sectPr>
      </w:pPr>
    </w:p>
    <w:bookmarkStart w:id="1" w:name="page2"/>
    <w:bookmarkEnd w:id="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TABLE OF CONTENTS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60" w:type="dxa"/>
            <w:vAlign w:val="bottom"/>
            <w:gridSpan w:val="9"/>
            <w:vMerge w:val="restart"/>
          </w:tcPr>
          <w:p>
            <w:pPr>
              <w:jc w:val="center"/>
              <w:spacing w:after="0"/>
              <w:rPr>
                <w:rFonts w:ascii="Arial" w:cs="Arial" w:eastAsia="Arial" w:hAnsi="Arial"/>
                <w:sz w:val="12"/>
                <w:szCs w:val="12"/>
                <w:color w:val="0000EE"/>
                <w:w w:val="98"/>
              </w:rPr>
            </w:pPr>
            <w:hyperlink w:anchor="page3">
              <w:r>
                <w:rPr>
                  <w:rFonts w:ascii="Arial" w:cs="Arial" w:eastAsia="Arial" w:hAnsi="Arial"/>
                  <w:sz w:val="12"/>
                  <w:szCs w:val="12"/>
                  <w:color w:val="0000EE"/>
                  <w:w w:val="98"/>
                </w:rPr>
                <w:t>PART I - FINANCIAL INFORMATION</w:t>
              </w:r>
            </w:hyperlink>
          </w:p>
        </w:tc>
        <w:tc>
          <w:tcPr>
            <w:tcW w:w="3300" w:type="dxa"/>
            <w:vAlign w:val="bottom"/>
            <w:gridSpan w:val="7"/>
            <w:vMerge w:val="restart"/>
          </w:tcPr>
          <w:p>
            <w:pPr>
              <w:spacing w:after="0"/>
              <w:rPr>
                <w:sz w:val="10"/>
                <w:szCs w:val="10"/>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tcBorders>
              <w:bottom w:val="single" w:sz="8" w:color="0000EE"/>
            </w:tcBorders>
            <w:gridSpan w:val="9"/>
            <w:vMerge w:val="continue"/>
          </w:tcPr>
          <w:p>
            <w:pPr>
              <w:spacing w:after="0"/>
              <w:rPr>
                <w:sz w:val="8"/>
                <w:szCs w:val="8"/>
                <w:color w:val="auto"/>
              </w:rPr>
            </w:pPr>
          </w:p>
        </w:tc>
        <w:tc>
          <w:tcPr>
            <w:tcW w:w="330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line="133" w:lineRule="exact"/>
              <w:rPr>
                <w:rFonts w:ascii="Arial" w:cs="Arial" w:eastAsia="Arial" w:hAnsi="Arial"/>
                <w:sz w:val="12"/>
                <w:szCs w:val="12"/>
                <w:color w:val="0000EE"/>
                <w:w w:val="95"/>
              </w:rPr>
            </w:pPr>
            <w:hyperlink w:anchor="page3">
              <w:r>
                <w:rPr>
                  <w:rFonts w:ascii="Arial" w:cs="Arial" w:eastAsia="Arial" w:hAnsi="Arial"/>
                  <w:sz w:val="12"/>
                  <w:szCs w:val="12"/>
                  <w:color w:val="0000EE"/>
                  <w:w w:val="95"/>
                </w:rPr>
                <w:t>ITEM 1.</w:t>
              </w:r>
            </w:hyperlink>
          </w:p>
        </w:tc>
        <w:tc>
          <w:tcPr>
            <w:tcW w:w="400" w:type="dxa"/>
            <w:vAlign w:val="bottom"/>
            <w:gridSpan w:val="2"/>
          </w:tcPr>
          <w:p>
            <w:pPr>
              <w:spacing w:after="0"/>
              <w:rPr>
                <w:sz w:val="11"/>
                <w:szCs w:val="11"/>
                <w:color w:val="auto"/>
              </w:rPr>
            </w:pPr>
          </w:p>
        </w:tc>
        <w:tc>
          <w:tcPr>
            <w:tcW w:w="7760" w:type="dxa"/>
            <w:vAlign w:val="bottom"/>
            <w:gridSpan w:val="26"/>
          </w:tcPr>
          <w:p>
            <w:pPr>
              <w:ind w:left="20"/>
              <w:spacing w:after="0" w:line="133" w:lineRule="exact"/>
              <w:rPr>
                <w:rFonts w:ascii="Arial" w:cs="Arial" w:eastAsia="Arial" w:hAnsi="Arial"/>
                <w:sz w:val="12"/>
                <w:szCs w:val="12"/>
                <w:color w:val="0000EE"/>
              </w:rPr>
            </w:pPr>
            <w:hyperlink w:anchor="page3">
              <w:r>
                <w:rPr>
                  <w:rFonts w:ascii="Arial" w:cs="Arial" w:eastAsia="Arial" w:hAnsi="Arial"/>
                  <w:sz w:val="12"/>
                  <w:szCs w:val="12"/>
                  <w:color w:val="0000EE"/>
                </w:rPr>
                <w:t>FINANCIAL STATEMENTS (unaudited)</w:t>
              </w:r>
            </w:hyperlink>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Borders>
              <w:bottom w:val="single" w:sz="8" w:color="0000EE"/>
            </w:tcBorders>
            <w:gridSpan w:val="9"/>
          </w:tcPr>
          <w:p>
            <w:pPr>
              <w:ind w:left="20"/>
              <w:spacing w:after="0"/>
              <w:rPr>
                <w:rFonts w:ascii="Arial" w:cs="Arial" w:eastAsia="Arial" w:hAnsi="Arial"/>
                <w:sz w:val="12"/>
                <w:szCs w:val="12"/>
                <w:b w:val="1"/>
                <w:bCs w:val="1"/>
                <w:color w:val="0000EE"/>
                <w:w w:val="89"/>
              </w:rPr>
            </w:pPr>
            <w:hyperlink w:anchor="page3">
              <w:r>
                <w:rPr>
                  <w:rFonts w:ascii="Arial" w:cs="Arial" w:eastAsia="Arial" w:hAnsi="Arial"/>
                  <w:sz w:val="12"/>
                  <w:szCs w:val="12"/>
                  <w:b w:val="1"/>
                  <w:bCs w:val="1"/>
                  <w:color w:val="0000EE"/>
                  <w:w w:val="89"/>
                </w:rPr>
                <w:t>Ferrellgas Partners, L.P. and Subsidiaries</w:t>
              </w:r>
            </w:hyperlink>
          </w:p>
        </w:tc>
        <w:tc>
          <w:tcPr>
            <w:tcW w:w="5600" w:type="dxa"/>
            <w:vAlign w:val="bottom"/>
            <w:gridSpan w:val="17"/>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80" w:type="dxa"/>
            <w:vAlign w:val="bottom"/>
            <w:tcBorders>
              <w:bottom w:val="single" w:sz="8" w:color="0000EE"/>
            </w:tcBorders>
            <w:gridSpan w:val="14"/>
          </w:tcPr>
          <w:p>
            <w:pPr>
              <w:ind w:left="20"/>
              <w:spacing w:after="0" w:line="124" w:lineRule="exact"/>
              <w:rPr>
                <w:rFonts w:ascii="Arial" w:cs="Arial" w:eastAsia="Arial" w:hAnsi="Arial"/>
                <w:sz w:val="12"/>
                <w:szCs w:val="12"/>
                <w:color w:val="0000EE"/>
                <w:w w:val="89"/>
              </w:rPr>
            </w:pPr>
            <w:hyperlink w:anchor="page3">
              <w:r>
                <w:rPr>
                  <w:rFonts w:ascii="Arial" w:cs="Arial" w:eastAsia="Arial" w:hAnsi="Arial"/>
                  <w:sz w:val="12"/>
                  <w:szCs w:val="12"/>
                  <w:color w:val="0000EE"/>
                  <w:w w:val="89"/>
                </w:rPr>
                <w:t>Condensed Consolidated Balance Sheets – April 30, 2021 and July 31, 2020</w:t>
              </w:r>
            </w:hyperlink>
          </w:p>
        </w:tc>
        <w:tc>
          <w:tcPr>
            <w:tcW w:w="4080" w:type="dxa"/>
            <w:vAlign w:val="bottom"/>
            <w:gridSpan w:val="12"/>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0" w:type="dxa"/>
            <w:vAlign w:val="bottom"/>
            <w:tcBorders>
              <w:bottom w:val="single" w:sz="8" w:color="0000EE"/>
            </w:tcBorders>
            <w:gridSpan w:val="23"/>
          </w:tcPr>
          <w:p>
            <w:pPr>
              <w:ind w:left="20"/>
              <w:spacing w:after="0" w:line="124" w:lineRule="exact"/>
              <w:rPr>
                <w:rFonts w:ascii="Arial" w:cs="Arial" w:eastAsia="Arial" w:hAnsi="Arial"/>
                <w:sz w:val="12"/>
                <w:szCs w:val="12"/>
                <w:color w:val="0000EE"/>
                <w:w w:val="89"/>
              </w:rPr>
            </w:pPr>
            <w:hyperlink w:anchor="page4">
              <w:r>
                <w:rPr>
                  <w:rFonts w:ascii="Arial" w:cs="Arial" w:eastAsia="Arial" w:hAnsi="Arial"/>
                  <w:sz w:val="12"/>
                  <w:szCs w:val="12"/>
                  <w:color w:val="0000EE"/>
                  <w:w w:val="89"/>
                </w:rPr>
                <w:t>Condensed Consolidated Statements of Operations – Three and nine months ended April 30, 2021 and 2020</w:t>
              </w:r>
            </w:hyperlink>
          </w:p>
        </w:tc>
        <w:tc>
          <w:tcPr>
            <w:tcW w:w="2560" w:type="dxa"/>
            <w:vAlign w:val="bottom"/>
            <w:gridSpan w:val="3"/>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5">
              <w:r>
                <w:rPr>
                  <w:rFonts w:ascii="Arial" w:cs="Arial" w:eastAsia="Arial" w:hAnsi="Arial"/>
                  <w:sz w:val="12"/>
                  <w:szCs w:val="12"/>
                  <w:color w:val="0000EE"/>
                </w:rPr>
                <w:t>Condensed Consolidated Statements of Comprehensive Income (Loss) – Three and nine months ended April 30, 2021 and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140" w:type="dxa"/>
            <w:vAlign w:val="bottom"/>
            <w:tcBorders>
              <w:top w:val="single" w:sz="8" w:color="0000EE"/>
            </w:tcBorders>
            <w:gridSpan w:val="25"/>
          </w:tcPr>
          <w:p>
            <w:pPr>
              <w:ind w:left="20"/>
              <w:spacing w:after="0" w:line="124" w:lineRule="exact"/>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 of Equity – Three and nine months ended April 30, 2021 and 2020</w:t>
              </w:r>
            </w:hyperlink>
          </w:p>
        </w:tc>
        <w:tc>
          <w:tcPr>
            <w:tcW w:w="162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940" w:type="dxa"/>
            <w:vAlign w:val="bottom"/>
            <w:tcBorders>
              <w:top w:val="single" w:sz="8" w:color="0000EE"/>
            </w:tcBorders>
            <w:gridSpan w:val="22"/>
          </w:tcPr>
          <w:p>
            <w:pPr>
              <w:ind w:left="20"/>
              <w:spacing w:after="0" w:line="124" w:lineRule="exact"/>
              <w:rPr>
                <w:rFonts w:ascii="Arial" w:cs="Arial" w:eastAsia="Arial" w:hAnsi="Arial"/>
                <w:sz w:val="12"/>
                <w:szCs w:val="12"/>
                <w:color w:val="0000EE"/>
                <w:w w:val="93"/>
              </w:rPr>
            </w:pPr>
            <w:hyperlink w:anchor="page7">
              <w:r>
                <w:rPr>
                  <w:rFonts w:ascii="Arial" w:cs="Arial" w:eastAsia="Arial" w:hAnsi="Arial"/>
                  <w:sz w:val="12"/>
                  <w:szCs w:val="12"/>
                  <w:color w:val="0000EE"/>
                  <w:w w:val="93"/>
                </w:rPr>
                <w:t>Condensed Consolidated Statements of Cash Flows – Nine months ended April 30, 2021 and 2020</w:t>
              </w:r>
            </w:hyperlink>
          </w:p>
        </w:tc>
        <w:tc>
          <w:tcPr>
            <w:tcW w:w="2820" w:type="dxa"/>
            <w:vAlign w:val="bottom"/>
            <w:gridSpan w:val="4"/>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80" w:type="dxa"/>
            <w:vAlign w:val="bottom"/>
            <w:tcBorders>
              <w:top w:val="single" w:sz="8" w:color="0000EE"/>
              <w:bottom w:val="single" w:sz="8" w:color="0000EE"/>
            </w:tcBorders>
            <w:gridSpan w:val="12"/>
          </w:tcPr>
          <w:p>
            <w:pPr>
              <w:ind w:left="20"/>
              <w:spacing w:after="0" w:line="124" w:lineRule="exact"/>
              <w:rPr>
                <w:rFonts w:ascii="Arial" w:cs="Arial" w:eastAsia="Arial" w:hAnsi="Arial"/>
                <w:sz w:val="12"/>
                <w:szCs w:val="12"/>
                <w:color w:val="0000EE"/>
                <w:w w:val="88"/>
              </w:rPr>
            </w:pPr>
            <w:hyperlink w:anchor="page8">
              <w:r>
                <w:rPr>
                  <w:rFonts w:ascii="Arial" w:cs="Arial" w:eastAsia="Arial" w:hAnsi="Arial"/>
                  <w:sz w:val="12"/>
                  <w:szCs w:val="12"/>
                  <w:color w:val="0000EE"/>
                  <w:w w:val="88"/>
                </w:rPr>
                <w:t>Notes to Condensed Consolidated Financial Statements</w:t>
              </w:r>
            </w:hyperlink>
          </w:p>
        </w:tc>
        <w:tc>
          <w:tcPr>
            <w:tcW w:w="2060" w:type="dxa"/>
            <w:vAlign w:val="bottom"/>
            <w:tcBorders>
              <w:top w:val="single" w:sz="8" w:color="0000EE"/>
            </w:tcBorders>
            <w:gridSpan w:val="9"/>
          </w:tcPr>
          <w:p>
            <w:pPr>
              <w:spacing w:after="0"/>
              <w:rPr>
                <w:sz w:val="10"/>
                <w:szCs w:val="10"/>
                <w:color w:val="auto"/>
              </w:rPr>
            </w:pPr>
          </w:p>
        </w:tc>
        <w:tc>
          <w:tcPr>
            <w:tcW w:w="3020" w:type="dxa"/>
            <w:vAlign w:val="bottom"/>
            <w:gridSpan w:val="5"/>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60" w:type="dxa"/>
            <w:vAlign w:val="bottom"/>
            <w:gridSpan w:val="26"/>
          </w:tcPr>
          <w:p>
            <w:pPr>
              <w:ind w:left="20"/>
              <w:spacing w:after="0"/>
              <w:rPr>
                <w:rFonts w:ascii="Arial" w:cs="Arial" w:eastAsia="Arial" w:hAnsi="Arial"/>
                <w:sz w:val="12"/>
                <w:szCs w:val="12"/>
                <w:b w:val="1"/>
                <w:bCs w:val="1"/>
                <w:color w:val="0000EE"/>
              </w:rPr>
            </w:pPr>
            <w:hyperlink w:anchor="page33">
              <w:r>
                <w:rPr>
                  <w:rFonts w:ascii="Arial" w:cs="Arial" w:eastAsia="Arial" w:hAnsi="Arial"/>
                  <w:sz w:val="12"/>
                  <w:szCs w:val="12"/>
                  <w:b w:val="1"/>
                  <w:bCs w:val="1"/>
                  <w:color w:val="0000EE"/>
                </w:rPr>
                <w:t>Ferrellgas Partners Finance Corp.</w:t>
              </w:r>
            </w:hyperlink>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33">
              <w:r>
                <w:rPr>
                  <w:rFonts w:ascii="Arial" w:cs="Arial" w:eastAsia="Arial" w:hAnsi="Arial"/>
                  <w:sz w:val="12"/>
                  <w:szCs w:val="12"/>
                  <w:color w:val="0000EE"/>
                </w:rPr>
                <w:t>Condensed Balance Sheets – April 30, 2021 and July 31,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540" w:type="dxa"/>
            <w:vAlign w:val="bottom"/>
            <w:tcBorders>
              <w:bottom w:val="single" w:sz="8" w:color="0000EE"/>
            </w:tcBorders>
            <w:gridSpan w:val="20"/>
          </w:tcPr>
          <w:p>
            <w:pPr>
              <w:ind w:left="20"/>
              <w:spacing w:after="0" w:line="124" w:lineRule="exact"/>
              <w:rPr>
                <w:rFonts w:ascii="Arial" w:cs="Arial" w:eastAsia="Arial" w:hAnsi="Arial"/>
                <w:sz w:val="12"/>
                <w:szCs w:val="12"/>
                <w:color w:val="0000EE"/>
                <w:w w:val="89"/>
              </w:rPr>
            </w:pPr>
            <w:hyperlink w:anchor="page34">
              <w:r>
                <w:rPr>
                  <w:rFonts w:ascii="Arial" w:cs="Arial" w:eastAsia="Arial" w:hAnsi="Arial"/>
                  <w:sz w:val="12"/>
                  <w:szCs w:val="12"/>
                  <w:color w:val="0000EE"/>
                  <w:w w:val="89"/>
                </w:rPr>
                <w:t>Condensed Statements of Operations – Three and nine months ended April 30, 2021 and 2020</w:t>
              </w:r>
            </w:hyperlink>
          </w:p>
        </w:tc>
        <w:tc>
          <w:tcPr>
            <w:tcW w:w="3220" w:type="dxa"/>
            <w:vAlign w:val="bottom"/>
            <w:gridSpan w:val="6"/>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Condensed Statements of Cash Flows – Nine months ended April 30, 2021 and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80" w:type="dxa"/>
            <w:vAlign w:val="bottom"/>
            <w:tcBorders>
              <w:top w:val="single" w:sz="8" w:color="0000EE"/>
            </w:tcBorders>
            <w:gridSpan w:val="16"/>
          </w:tcPr>
          <w:p>
            <w:pPr>
              <w:ind w:left="20"/>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Notes to Condensed Financial Statements</w:t>
              </w:r>
            </w:hyperlink>
          </w:p>
        </w:tc>
        <w:tc>
          <w:tcPr>
            <w:tcW w:w="3680" w:type="dxa"/>
            <w:vAlign w:val="bottom"/>
            <w:gridSpan w:val="10"/>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Borders>
              <w:top w:val="single" w:sz="8" w:color="0000EE"/>
            </w:tcBorders>
            <w:gridSpan w:val="7"/>
          </w:tcPr>
          <w:p>
            <w:pPr>
              <w:ind w:left="20"/>
              <w:spacing w:after="0"/>
              <w:rPr>
                <w:rFonts w:ascii="Arial" w:cs="Arial" w:eastAsia="Arial" w:hAnsi="Arial"/>
                <w:sz w:val="12"/>
                <w:szCs w:val="12"/>
                <w:b w:val="1"/>
                <w:bCs w:val="1"/>
                <w:color w:val="0000EE"/>
              </w:rPr>
            </w:pPr>
            <w:hyperlink w:anchor="page37">
              <w:r>
                <w:rPr>
                  <w:rFonts w:ascii="Arial" w:cs="Arial" w:eastAsia="Arial" w:hAnsi="Arial"/>
                  <w:sz w:val="12"/>
                  <w:szCs w:val="12"/>
                  <w:b w:val="1"/>
                  <w:bCs w:val="1"/>
                  <w:color w:val="0000EE"/>
                </w:rPr>
                <w:t>Ferrellgas, L.P. and Subsidiaries</w:t>
              </w:r>
            </w:hyperlink>
          </w:p>
        </w:tc>
        <w:tc>
          <w:tcPr>
            <w:tcW w:w="5760" w:type="dxa"/>
            <w:vAlign w:val="bottom"/>
            <w:gridSpan w:val="19"/>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80" w:type="dxa"/>
            <w:vAlign w:val="bottom"/>
            <w:tcBorders>
              <w:bottom w:val="single" w:sz="8" w:color="0000EE"/>
            </w:tcBorders>
            <w:gridSpan w:val="14"/>
          </w:tcPr>
          <w:p>
            <w:pPr>
              <w:ind w:left="20"/>
              <w:spacing w:after="0" w:line="124" w:lineRule="exact"/>
              <w:rPr>
                <w:rFonts w:ascii="Arial" w:cs="Arial" w:eastAsia="Arial" w:hAnsi="Arial"/>
                <w:sz w:val="12"/>
                <w:szCs w:val="12"/>
                <w:color w:val="0000EE"/>
                <w:w w:val="89"/>
              </w:rPr>
            </w:pPr>
            <w:hyperlink w:anchor="page37">
              <w:r>
                <w:rPr>
                  <w:rFonts w:ascii="Arial" w:cs="Arial" w:eastAsia="Arial" w:hAnsi="Arial"/>
                  <w:sz w:val="12"/>
                  <w:szCs w:val="12"/>
                  <w:color w:val="0000EE"/>
                  <w:w w:val="89"/>
                </w:rPr>
                <w:t>Condensed Consolidated Balance Sheets – April 30, 2021 and July 31, 2020</w:t>
              </w:r>
            </w:hyperlink>
          </w:p>
        </w:tc>
        <w:tc>
          <w:tcPr>
            <w:tcW w:w="4080" w:type="dxa"/>
            <w:vAlign w:val="bottom"/>
            <w:gridSpan w:val="12"/>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0" w:type="dxa"/>
            <w:vAlign w:val="bottom"/>
            <w:tcBorders>
              <w:bottom w:val="single" w:sz="8" w:color="0000EE"/>
            </w:tcBorders>
            <w:gridSpan w:val="23"/>
          </w:tcPr>
          <w:p>
            <w:pPr>
              <w:ind w:left="20"/>
              <w:spacing w:after="0" w:line="124" w:lineRule="exact"/>
              <w:rPr>
                <w:rFonts w:ascii="Arial" w:cs="Arial" w:eastAsia="Arial" w:hAnsi="Arial"/>
                <w:sz w:val="12"/>
                <w:szCs w:val="12"/>
                <w:color w:val="0000EE"/>
                <w:w w:val="89"/>
              </w:rPr>
            </w:pPr>
            <w:hyperlink w:anchor="page38">
              <w:r>
                <w:rPr>
                  <w:rFonts w:ascii="Arial" w:cs="Arial" w:eastAsia="Arial" w:hAnsi="Arial"/>
                  <w:sz w:val="12"/>
                  <w:szCs w:val="12"/>
                  <w:color w:val="0000EE"/>
                  <w:w w:val="89"/>
                </w:rPr>
                <w:t>Condensed Consolidated Statements of Operations – Three and nine months ended April 30, 2021 and 2020</w:t>
              </w:r>
            </w:hyperlink>
          </w:p>
        </w:tc>
        <w:tc>
          <w:tcPr>
            <w:tcW w:w="2560" w:type="dxa"/>
            <w:vAlign w:val="bottom"/>
            <w:gridSpan w:val="3"/>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39">
              <w:r>
                <w:rPr>
                  <w:rFonts w:ascii="Arial" w:cs="Arial" w:eastAsia="Arial" w:hAnsi="Arial"/>
                  <w:sz w:val="12"/>
                  <w:szCs w:val="12"/>
                  <w:color w:val="0000EE"/>
                </w:rPr>
                <w:t>Condensed Consolidated Statements of Comprehensive Income (Loss) – Three and nine months ended April 30, 2021 and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140" w:type="dxa"/>
            <w:vAlign w:val="bottom"/>
            <w:tcBorders>
              <w:top w:val="single" w:sz="8" w:color="0000EE"/>
            </w:tcBorders>
            <w:gridSpan w:val="25"/>
          </w:tcPr>
          <w:p>
            <w:pPr>
              <w:ind w:left="20"/>
              <w:spacing w:after="0" w:line="124" w:lineRule="exact"/>
              <w:rPr>
                <w:rFonts w:ascii="Arial" w:cs="Arial" w:eastAsia="Arial" w:hAnsi="Arial"/>
                <w:sz w:val="12"/>
                <w:szCs w:val="12"/>
                <w:color w:val="0000EE"/>
              </w:rPr>
            </w:pPr>
            <w:hyperlink w:anchor="page40">
              <w:r>
                <w:rPr>
                  <w:rFonts w:ascii="Arial" w:cs="Arial" w:eastAsia="Arial" w:hAnsi="Arial"/>
                  <w:sz w:val="12"/>
                  <w:szCs w:val="12"/>
                  <w:color w:val="0000EE"/>
                </w:rPr>
                <w:t>Condensed Consolidated Statement of Equity – Three and nine months ended April 30, 2021 and 2020</w:t>
              </w:r>
            </w:hyperlink>
          </w:p>
        </w:tc>
        <w:tc>
          <w:tcPr>
            <w:tcW w:w="162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940" w:type="dxa"/>
            <w:vAlign w:val="bottom"/>
            <w:tcBorders>
              <w:top w:val="single" w:sz="8" w:color="0000EE"/>
            </w:tcBorders>
            <w:gridSpan w:val="22"/>
          </w:tcPr>
          <w:p>
            <w:pPr>
              <w:ind w:left="20"/>
              <w:spacing w:after="0" w:line="124" w:lineRule="exact"/>
              <w:rPr>
                <w:rFonts w:ascii="Arial" w:cs="Arial" w:eastAsia="Arial" w:hAnsi="Arial"/>
                <w:sz w:val="12"/>
                <w:szCs w:val="12"/>
                <w:color w:val="0000EE"/>
                <w:w w:val="93"/>
              </w:rPr>
            </w:pPr>
            <w:hyperlink w:anchor="page41">
              <w:r>
                <w:rPr>
                  <w:rFonts w:ascii="Arial" w:cs="Arial" w:eastAsia="Arial" w:hAnsi="Arial"/>
                  <w:sz w:val="12"/>
                  <w:szCs w:val="12"/>
                  <w:color w:val="0000EE"/>
                  <w:w w:val="93"/>
                </w:rPr>
                <w:t>Condensed Consolidated Statements of Cash Flows – Nine months ended April 30, 2021 and 2020</w:t>
              </w:r>
            </w:hyperlink>
          </w:p>
        </w:tc>
        <w:tc>
          <w:tcPr>
            <w:tcW w:w="2820" w:type="dxa"/>
            <w:vAlign w:val="bottom"/>
            <w:gridSpan w:val="4"/>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80" w:type="dxa"/>
            <w:vAlign w:val="bottom"/>
            <w:tcBorders>
              <w:top w:val="single" w:sz="8" w:color="0000EE"/>
              <w:bottom w:val="single" w:sz="8" w:color="0000EE"/>
            </w:tcBorders>
            <w:gridSpan w:val="12"/>
          </w:tcPr>
          <w:p>
            <w:pPr>
              <w:ind w:left="20"/>
              <w:spacing w:after="0" w:line="124" w:lineRule="exact"/>
              <w:rPr>
                <w:rFonts w:ascii="Arial" w:cs="Arial" w:eastAsia="Arial" w:hAnsi="Arial"/>
                <w:sz w:val="12"/>
                <w:szCs w:val="12"/>
                <w:color w:val="0000EE"/>
                <w:w w:val="88"/>
              </w:rPr>
            </w:pPr>
            <w:hyperlink w:anchor="page42">
              <w:r>
                <w:rPr>
                  <w:rFonts w:ascii="Arial" w:cs="Arial" w:eastAsia="Arial" w:hAnsi="Arial"/>
                  <w:sz w:val="12"/>
                  <w:szCs w:val="12"/>
                  <w:color w:val="0000EE"/>
                  <w:w w:val="88"/>
                </w:rPr>
                <w:t>Notes to Condensed Consolidated Financial Statements</w:t>
              </w:r>
            </w:hyperlink>
          </w:p>
        </w:tc>
        <w:tc>
          <w:tcPr>
            <w:tcW w:w="2060" w:type="dxa"/>
            <w:vAlign w:val="bottom"/>
            <w:tcBorders>
              <w:top w:val="single" w:sz="8" w:color="0000EE"/>
            </w:tcBorders>
            <w:gridSpan w:val="9"/>
          </w:tcPr>
          <w:p>
            <w:pPr>
              <w:spacing w:after="0"/>
              <w:rPr>
                <w:sz w:val="10"/>
                <w:szCs w:val="10"/>
                <w:color w:val="auto"/>
              </w:rPr>
            </w:pPr>
          </w:p>
        </w:tc>
        <w:tc>
          <w:tcPr>
            <w:tcW w:w="3020" w:type="dxa"/>
            <w:vAlign w:val="bottom"/>
            <w:gridSpan w:val="5"/>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Borders>
              <w:bottom w:val="single" w:sz="8" w:color="0000EE"/>
            </w:tcBorders>
            <w:gridSpan w:val="4"/>
          </w:tcPr>
          <w:p>
            <w:pPr>
              <w:ind w:left="20"/>
              <w:spacing w:after="0"/>
              <w:rPr>
                <w:rFonts w:ascii="Arial" w:cs="Arial" w:eastAsia="Arial" w:hAnsi="Arial"/>
                <w:sz w:val="12"/>
                <w:szCs w:val="12"/>
                <w:b w:val="1"/>
                <w:bCs w:val="1"/>
                <w:color w:val="0000EE"/>
                <w:w w:val="89"/>
              </w:rPr>
            </w:pPr>
            <w:hyperlink w:anchor="page64">
              <w:r>
                <w:rPr>
                  <w:rFonts w:ascii="Arial" w:cs="Arial" w:eastAsia="Arial" w:hAnsi="Arial"/>
                  <w:sz w:val="12"/>
                  <w:szCs w:val="12"/>
                  <w:b w:val="1"/>
                  <w:bCs w:val="1"/>
                  <w:color w:val="0000EE"/>
                  <w:w w:val="89"/>
                </w:rPr>
                <w:t>Ferrellgas Finance Corp.</w:t>
              </w:r>
            </w:hyperlink>
          </w:p>
        </w:tc>
        <w:tc>
          <w:tcPr>
            <w:tcW w:w="6460" w:type="dxa"/>
            <w:vAlign w:val="bottom"/>
            <w:gridSpan w:val="22"/>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64">
              <w:r>
                <w:rPr>
                  <w:rFonts w:ascii="Arial" w:cs="Arial" w:eastAsia="Arial" w:hAnsi="Arial"/>
                  <w:sz w:val="12"/>
                  <w:szCs w:val="12"/>
                  <w:color w:val="0000EE"/>
                </w:rPr>
                <w:t>Condensed Balance Sheets – April 30, 2021 and July 31,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540" w:type="dxa"/>
            <w:vAlign w:val="bottom"/>
            <w:tcBorders>
              <w:bottom w:val="single" w:sz="8" w:color="0000EE"/>
            </w:tcBorders>
            <w:gridSpan w:val="20"/>
          </w:tcPr>
          <w:p>
            <w:pPr>
              <w:ind w:left="20"/>
              <w:spacing w:after="0" w:line="124" w:lineRule="exact"/>
              <w:rPr>
                <w:rFonts w:ascii="Arial" w:cs="Arial" w:eastAsia="Arial" w:hAnsi="Arial"/>
                <w:sz w:val="12"/>
                <w:szCs w:val="12"/>
                <w:color w:val="0000EE"/>
                <w:w w:val="89"/>
              </w:rPr>
            </w:pPr>
            <w:hyperlink w:anchor="page65">
              <w:r>
                <w:rPr>
                  <w:rFonts w:ascii="Arial" w:cs="Arial" w:eastAsia="Arial" w:hAnsi="Arial"/>
                  <w:sz w:val="12"/>
                  <w:szCs w:val="12"/>
                  <w:color w:val="0000EE"/>
                  <w:w w:val="89"/>
                </w:rPr>
                <w:t>Condensed Statements of Operations – Three and nine months ended April 30, 2021 and 2020</w:t>
              </w:r>
            </w:hyperlink>
          </w:p>
        </w:tc>
        <w:tc>
          <w:tcPr>
            <w:tcW w:w="3220" w:type="dxa"/>
            <w:vAlign w:val="bottom"/>
            <w:gridSpan w:val="6"/>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Condensed Statements of Cash Flows – Nine months ended April 30, 2021 and 2020</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80" w:type="dxa"/>
            <w:vAlign w:val="bottom"/>
            <w:tcBorders>
              <w:top w:val="single" w:sz="8" w:color="0000EE"/>
            </w:tcBorders>
            <w:gridSpan w:val="16"/>
          </w:tcPr>
          <w:p>
            <w:pPr>
              <w:ind w:left="20"/>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Notes to Condensed Financial Statements</w:t>
              </w:r>
            </w:hyperlink>
          </w:p>
        </w:tc>
        <w:tc>
          <w:tcPr>
            <w:tcW w:w="3680" w:type="dxa"/>
            <w:vAlign w:val="bottom"/>
            <w:gridSpan w:val="10"/>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Borders>
              <w:bottom w:val="single" w:sz="8" w:color="0000EE"/>
            </w:tcBorders>
          </w:tcPr>
          <w:p>
            <w:pPr>
              <w:spacing w:after="0"/>
              <w:rPr>
                <w:rFonts w:ascii="Arial" w:cs="Arial" w:eastAsia="Arial" w:hAnsi="Arial"/>
                <w:sz w:val="12"/>
                <w:szCs w:val="12"/>
                <w:color w:val="0000EE"/>
                <w:w w:val="95"/>
              </w:rPr>
            </w:pPr>
            <w:hyperlink w:anchor="page68">
              <w:r>
                <w:rPr>
                  <w:rFonts w:ascii="Arial" w:cs="Arial" w:eastAsia="Arial" w:hAnsi="Arial"/>
                  <w:sz w:val="12"/>
                  <w:szCs w:val="12"/>
                  <w:color w:val="0000EE"/>
                  <w:w w:val="95"/>
                </w:rPr>
                <w:t>ITEM 2.</w:t>
              </w:r>
            </w:hyperlink>
          </w:p>
        </w:tc>
        <w:tc>
          <w:tcPr>
            <w:tcW w:w="400" w:type="dxa"/>
            <w:vAlign w:val="bottom"/>
            <w:gridSpan w:val="2"/>
          </w:tcPr>
          <w:p>
            <w:pPr>
              <w:spacing w:after="0"/>
              <w:rPr>
                <w:sz w:val="19"/>
                <w:szCs w:val="19"/>
                <w:color w:val="auto"/>
              </w:rPr>
            </w:pPr>
          </w:p>
        </w:tc>
        <w:tc>
          <w:tcPr>
            <w:tcW w:w="5960" w:type="dxa"/>
            <w:vAlign w:val="bottom"/>
            <w:tcBorders>
              <w:bottom w:val="single" w:sz="8" w:color="0000EE"/>
            </w:tcBorders>
            <w:gridSpan w:val="24"/>
          </w:tcPr>
          <w:p>
            <w:pPr>
              <w:ind w:left="20"/>
              <w:spacing w:after="0"/>
              <w:rPr>
                <w:rFonts w:ascii="Arial" w:cs="Arial" w:eastAsia="Arial" w:hAnsi="Arial"/>
                <w:sz w:val="12"/>
                <w:szCs w:val="12"/>
                <w:color w:val="0000EE"/>
                <w:w w:val="96"/>
              </w:rPr>
            </w:pPr>
            <w:hyperlink w:anchor="page68">
              <w:r>
                <w:rPr>
                  <w:rFonts w:ascii="Arial" w:cs="Arial" w:eastAsia="Arial" w:hAnsi="Arial"/>
                  <w:sz w:val="12"/>
                  <w:szCs w:val="12"/>
                  <w:color w:val="0000EE"/>
                  <w:w w:val="96"/>
                </w:rPr>
                <w:t>MANAGEMENT’S DISCUSSION AND ANALYSIS OF FINANCIAL CONDITION AND RESULTS OF OPERATIONS</w:t>
              </w:r>
            </w:hyperlink>
          </w:p>
        </w:tc>
        <w:tc>
          <w:tcPr>
            <w:tcW w:w="180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24"/>
        </w:trPr>
        <w:tc>
          <w:tcPr>
            <w:tcW w:w="420" w:type="dxa"/>
            <w:vAlign w:val="bottom"/>
          </w:tcPr>
          <w:p>
            <w:pPr>
              <w:spacing w:after="0" w:line="124" w:lineRule="exact"/>
              <w:rPr>
                <w:rFonts w:ascii="Arial" w:cs="Arial" w:eastAsia="Arial" w:hAnsi="Arial"/>
                <w:sz w:val="12"/>
                <w:szCs w:val="12"/>
                <w:color w:val="0000EE"/>
                <w:w w:val="95"/>
              </w:rPr>
            </w:pPr>
            <w:hyperlink w:anchor="page90">
              <w:r>
                <w:rPr>
                  <w:rFonts w:ascii="Arial" w:cs="Arial" w:eastAsia="Arial" w:hAnsi="Arial"/>
                  <w:sz w:val="12"/>
                  <w:szCs w:val="12"/>
                  <w:color w:val="0000EE"/>
                  <w:w w:val="95"/>
                </w:rPr>
                <w:t>ITEM 3.</w:t>
              </w:r>
            </w:hyperlink>
          </w:p>
        </w:tc>
        <w:tc>
          <w:tcPr>
            <w:tcW w:w="400" w:type="dxa"/>
            <w:vAlign w:val="bottom"/>
            <w:gridSpan w:val="2"/>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90">
              <w:r>
                <w:rPr>
                  <w:rFonts w:ascii="Arial" w:cs="Arial" w:eastAsia="Arial" w:hAnsi="Arial"/>
                  <w:sz w:val="12"/>
                  <w:szCs w:val="12"/>
                  <w:color w:val="0000EE"/>
                </w:rPr>
                <w:t>QUANTITATIVE AND QUALITATIVE DISCLOSURES ABOUT MARKET RISK</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24"/>
        </w:trPr>
        <w:tc>
          <w:tcPr>
            <w:tcW w:w="420" w:type="dxa"/>
            <w:vAlign w:val="bottom"/>
            <w:tcBorders>
              <w:top w:val="single" w:sz="8" w:color="0000EE"/>
            </w:tcBorders>
          </w:tcPr>
          <w:p>
            <w:pPr>
              <w:spacing w:after="0" w:line="124" w:lineRule="exact"/>
              <w:rPr>
                <w:rFonts w:ascii="Arial" w:cs="Arial" w:eastAsia="Arial" w:hAnsi="Arial"/>
                <w:sz w:val="12"/>
                <w:szCs w:val="12"/>
                <w:color w:val="0000EE"/>
                <w:w w:val="95"/>
              </w:rPr>
            </w:pPr>
            <w:hyperlink w:anchor="page92">
              <w:r>
                <w:rPr>
                  <w:rFonts w:ascii="Arial" w:cs="Arial" w:eastAsia="Arial" w:hAnsi="Arial"/>
                  <w:sz w:val="12"/>
                  <w:szCs w:val="12"/>
                  <w:color w:val="0000EE"/>
                  <w:w w:val="95"/>
                </w:rPr>
                <w:t>ITEM 4.</w:t>
              </w:r>
            </w:hyperlink>
          </w:p>
        </w:tc>
        <w:tc>
          <w:tcPr>
            <w:tcW w:w="400" w:type="dxa"/>
            <w:vAlign w:val="bottom"/>
            <w:gridSpan w:val="2"/>
          </w:tcPr>
          <w:p>
            <w:pPr>
              <w:spacing w:after="0"/>
              <w:rPr>
                <w:sz w:val="10"/>
                <w:szCs w:val="10"/>
                <w:color w:val="auto"/>
              </w:rPr>
            </w:pPr>
          </w:p>
        </w:tc>
        <w:tc>
          <w:tcPr>
            <w:tcW w:w="4100" w:type="dxa"/>
            <w:vAlign w:val="bottom"/>
            <w:tcBorders>
              <w:top w:val="single" w:sz="8" w:color="0000EE"/>
            </w:tcBorders>
            <w:gridSpan w:val="17"/>
          </w:tcPr>
          <w:p>
            <w:pPr>
              <w:ind w:left="20"/>
              <w:spacing w:after="0" w:line="124" w:lineRule="exact"/>
              <w:rPr>
                <w:rFonts w:ascii="Arial" w:cs="Arial" w:eastAsia="Arial" w:hAnsi="Arial"/>
                <w:sz w:val="12"/>
                <w:szCs w:val="12"/>
                <w:color w:val="0000EE"/>
              </w:rPr>
            </w:pPr>
            <w:hyperlink w:anchor="page92">
              <w:r>
                <w:rPr>
                  <w:rFonts w:ascii="Arial" w:cs="Arial" w:eastAsia="Arial" w:hAnsi="Arial"/>
                  <w:sz w:val="12"/>
                  <w:szCs w:val="12"/>
                  <w:color w:val="0000EE"/>
                </w:rPr>
                <w:t>CONTROLS AND PROCEDURES</w:t>
              </w:r>
            </w:hyperlink>
          </w:p>
        </w:tc>
        <w:tc>
          <w:tcPr>
            <w:tcW w:w="3660" w:type="dxa"/>
            <w:vAlign w:val="bottom"/>
            <w:gridSpan w:val="9"/>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23"/>
        </w:trPr>
        <w:tc>
          <w:tcPr>
            <w:tcW w:w="4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0000EE"/>
            </w:tcBorders>
            <w:gridSpan w:val="7"/>
          </w:tcPr>
          <w:p>
            <w:pPr>
              <w:jc w:val="center"/>
              <w:spacing w:after="0"/>
              <w:rPr>
                <w:rFonts w:ascii="Arial" w:cs="Arial" w:eastAsia="Arial" w:hAnsi="Arial"/>
                <w:sz w:val="12"/>
                <w:szCs w:val="12"/>
                <w:color w:val="0000EE"/>
                <w:w w:val="96"/>
              </w:rPr>
            </w:pPr>
            <w:hyperlink w:anchor="page93">
              <w:r>
                <w:rPr>
                  <w:rFonts w:ascii="Arial" w:cs="Arial" w:eastAsia="Arial" w:hAnsi="Arial"/>
                  <w:sz w:val="12"/>
                  <w:szCs w:val="12"/>
                  <w:color w:val="0000EE"/>
                  <w:w w:val="96"/>
                </w:rPr>
                <w:t>PART II - OTHER INFORMATION</w:t>
              </w:r>
            </w:hyperlink>
          </w:p>
        </w:tc>
        <w:tc>
          <w:tcPr>
            <w:tcW w:w="3400" w:type="dxa"/>
            <w:vAlign w:val="bottom"/>
            <w:gridSpan w:val="8"/>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20" w:type="dxa"/>
            <w:vAlign w:val="bottom"/>
            <w:tcBorders>
              <w:bottom w:val="single" w:sz="8" w:color="0000EE"/>
            </w:tcBorders>
          </w:tcPr>
          <w:p>
            <w:pPr>
              <w:spacing w:after="0" w:line="124" w:lineRule="exact"/>
              <w:rPr>
                <w:rFonts w:ascii="Arial" w:cs="Arial" w:eastAsia="Arial" w:hAnsi="Arial"/>
                <w:sz w:val="12"/>
                <w:szCs w:val="12"/>
                <w:color w:val="0000EE"/>
                <w:w w:val="95"/>
              </w:rPr>
            </w:pPr>
            <w:hyperlink w:anchor="page93">
              <w:r>
                <w:rPr>
                  <w:rFonts w:ascii="Arial" w:cs="Arial" w:eastAsia="Arial" w:hAnsi="Arial"/>
                  <w:sz w:val="12"/>
                  <w:szCs w:val="12"/>
                  <w:color w:val="0000EE"/>
                  <w:w w:val="95"/>
                </w:rPr>
                <w:t>ITEM 1.</w:t>
              </w:r>
            </w:hyperlink>
          </w:p>
        </w:tc>
        <w:tc>
          <w:tcPr>
            <w:tcW w:w="400" w:type="dxa"/>
            <w:vAlign w:val="bottom"/>
            <w:gridSpan w:val="2"/>
          </w:tcPr>
          <w:p>
            <w:pPr>
              <w:spacing w:after="0"/>
              <w:rPr>
                <w:sz w:val="10"/>
                <w:szCs w:val="10"/>
                <w:color w:val="auto"/>
              </w:rPr>
            </w:pPr>
          </w:p>
        </w:tc>
        <w:tc>
          <w:tcPr>
            <w:tcW w:w="1260" w:type="dxa"/>
            <w:vAlign w:val="bottom"/>
            <w:tcBorders>
              <w:bottom w:val="single" w:sz="8" w:color="0000EE"/>
            </w:tcBorders>
            <w:gridSpan w:val="3"/>
          </w:tcPr>
          <w:p>
            <w:pPr>
              <w:ind w:left="20"/>
              <w:spacing w:after="0" w:line="124" w:lineRule="exact"/>
              <w:rPr>
                <w:rFonts w:ascii="Arial" w:cs="Arial" w:eastAsia="Arial" w:hAnsi="Arial"/>
                <w:sz w:val="12"/>
                <w:szCs w:val="12"/>
                <w:color w:val="0000EE"/>
                <w:w w:val="93"/>
              </w:rPr>
            </w:pPr>
            <w:hyperlink w:anchor="page93">
              <w:r>
                <w:rPr>
                  <w:rFonts w:ascii="Arial" w:cs="Arial" w:eastAsia="Arial" w:hAnsi="Arial"/>
                  <w:sz w:val="12"/>
                  <w:szCs w:val="12"/>
                  <w:color w:val="0000EE"/>
                  <w:w w:val="93"/>
                </w:rPr>
                <w:t>LEGAL PROCEEDINGS</w:t>
              </w:r>
            </w:hyperlink>
          </w:p>
        </w:tc>
        <w:tc>
          <w:tcPr>
            <w:tcW w:w="6500" w:type="dxa"/>
            <w:vAlign w:val="bottom"/>
            <w:gridSpan w:val="23"/>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24"/>
        </w:trPr>
        <w:tc>
          <w:tcPr>
            <w:tcW w:w="820" w:type="dxa"/>
            <w:vAlign w:val="bottom"/>
            <w:gridSpan w:val="3"/>
          </w:tcPr>
          <w:p>
            <w:pPr>
              <w:spacing w:after="0" w:line="124" w:lineRule="exact"/>
              <w:rPr>
                <w:rFonts w:ascii="Arial" w:cs="Arial" w:eastAsia="Arial" w:hAnsi="Arial"/>
                <w:sz w:val="12"/>
                <w:szCs w:val="12"/>
                <w:color w:val="0000EE"/>
              </w:rPr>
            </w:pPr>
            <w:hyperlink w:anchor="page93">
              <w:r>
                <w:rPr>
                  <w:rFonts w:ascii="Arial" w:cs="Arial" w:eastAsia="Arial" w:hAnsi="Arial"/>
                  <w:sz w:val="12"/>
                  <w:szCs w:val="12"/>
                  <w:color w:val="0000EE"/>
                </w:rPr>
                <w:t>ITEM 1A.</w:t>
              </w:r>
            </w:hyperlink>
          </w:p>
        </w:tc>
        <w:tc>
          <w:tcPr>
            <w:tcW w:w="7760" w:type="dxa"/>
            <w:vAlign w:val="bottom"/>
            <w:gridSpan w:val="26"/>
          </w:tcPr>
          <w:p>
            <w:pPr>
              <w:ind w:left="20"/>
              <w:spacing w:after="0" w:line="124" w:lineRule="exact"/>
              <w:rPr>
                <w:rFonts w:ascii="Arial" w:cs="Arial" w:eastAsia="Arial" w:hAnsi="Arial"/>
                <w:sz w:val="12"/>
                <w:szCs w:val="12"/>
                <w:color w:val="0000EE"/>
              </w:rPr>
            </w:pPr>
            <w:hyperlink w:anchor="page93">
              <w:r>
                <w:rPr>
                  <w:rFonts w:ascii="Arial" w:cs="Arial" w:eastAsia="Arial" w:hAnsi="Arial"/>
                  <w:sz w:val="12"/>
                  <w:szCs w:val="12"/>
                  <w:color w:val="0000EE"/>
                </w:rPr>
                <w:t>RISK FACTORS</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tcBorders>
              <w:bottom w:val="single" w:sz="8" w:color="0000EE"/>
            </w:tcBorders>
          </w:tcPr>
          <w:p>
            <w:pPr>
              <w:spacing w:after="0" w:line="124" w:lineRule="exact"/>
              <w:rPr>
                <w:rFonts w:ascii="Arial" w:cs="Arial" w:eastAsia="Arial" w:hAnsi="Arial"/>
                <w:sz w:val="12"/>
                <w:szCs w:val="12"/>
                <w:color w:val="0000EE"/>
                <w:w w:val="95"/>
              </w:rPr>
            </w:pPr>
            <w:hyperlink w:anchor="page98">
              <w:r>
                <w:rPr>
                  <w:rFonts w:ascii="Arial" w:cs="Arial" w:eastAsia="Arial" w:hAnsi="Arial"/>
                  <w:sz w:val="12"/>
                  <w:szCs w:val="12"/>
                  <w:color w:val="0000EE"/>
                  <w:w w:val="95"/>
                </w:rPr>
                <w:t>ITEM 2.</w:t>
              </w:r>
            </w:hyperlink>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60" w:type="dxa"/>
            <w:vAlign w:val="bottom"/>
            <w:tcBorders>
              <w:bottom w:val="single" w:sz="8" w:color="0000EE"/>
            </w:tcBorders>
            <w:gridSpan w:val="15"/>
          </w:tcPr>
          <w:p>
            <w:pPr>
              <w:ind w:left="20"/>
              <w:spacing w:after="0" w:line="124" w:lineRule="exact"/>
              <w:rPr>
                <w:rFonts w:ascii="Arial" w:cs="Arial" w:eastAsia="Arial" w:hAnsi="Arial"/>
                <w:sz w:val="12"/>
                <w:szCs w:val="12"/>
                <w:color w:val="0000EE"/>
                <w:w w:val="93"/>
              </w:rPr>
            </w:pPr>
            <w:hyperlink w:anchor="page98">
              <w:r>
                <w:rPr>
                  <w:rFonts w:ascii="Arial" w:cs="Arial" w:eastAsia="Arial" w:hAnsi="Arial"/>
                  <w:sz w:val="12"/>
                  <w:szCs w:val="12"/>
                  <w:color w:val="0000EE"/>
                  <w:w w:val="93"/>
                </w:rPr>
                <w:t>UNREGISTERED SALES OF EQUITY SECURITIES AND USE OF PROCEEDS</w:t>
              </w:r>
            </w:hyperlink>
          </w:p>
        </w:tc>
        <w:tc>
          <w:tcPr>
            <w:tcW w:w="3700" w:type="dxa"/>
            <w:vAlign w:val="bottom"/>
            <w:gridSpan w:val="11"/>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420" w:type="dxa"/>
            <w:vAlign w:val="bottom"/>
            <w:tcBorders>
              <w:bottom w:val="single" w:sz="8" w:color="0000EE"/>
            </w:tcBorders>
          </w:tcPr>
          <w:p>
            <w:pPr>
              <w:spacing w:after="0" w:line="124" w:lineRule="exact"/>
              <w:rPr>
                <w:rFonts w:ascii="Arial" w:cs="Arial" w:eastAsia="Arial" w:hAnsi="Arial"/>
                <w:sz w:val="12"/>
                <w:szCs w:val="12"/>
                <w:color w:val="0000EE"/>
                <w:w w:val="95"/>
              </w:rPr>
            </w:pPr>
            <w:hyperlink w:anchor="page98">
              <w:r>
                <w:rPr>
                  <w:rFonts w:ascii="Arial" w:cs="Arial" w:eastAsia="Arial" w:hAnsi="Arial"/>
                  <w:sz w:val="12"/>
                  <w:szCs w:val="12"/>
                  <w:color w:val="0000EE"/>
                  <w:w w:val="95"/>
                </w:rPr>
                <w:t>ITEM 3.</w:t>
              </w:r>
            </w:hyperlink>
          </w:p>
        </w:tc>
        <w:tc>
          <w:tcPr>
            <w:tcW w:w="400" w:type="dxa"/>
            <w:vAlign w:val="bottom"/>
            <w:gridSpan w:val="2"/>
          </w:tcPr>
          <w:p>
            <w:pPr>
              <w:spacing w:after="0"/>
              <w:rPr>
                <w:sz w:val="10"/>
                <w:szCs w:val="10"/>
                <w:color w:val="auto"/>
              </w:rPr>
            </w:pPr>
          </w:p>
        </w:tc>
        <w:tc>
          <w:tcPr>
            <w:tcW w:w="2140" w:type="dxa"/>
            <w:vAlign w:val="bottom"/>
            <w:tcBorders>
              <w:bottom w:val="single" w:sz="8" w:color="0000EE"/>
            </w:tcBorders>
            <w:gridSpan w:val="8"/>
          </w:tcPr>
          <w:p>
            <w:pPr>
              <w:ind w:left="20"/>
              <w:spacing w:after="0" w:line="124" w:lineRule="exact"/>
              <w:rPr>
                <w:rFonts w:ascii="Arial" w:cs="Arial" w:eastAsia="Arial" w:hAnsi="Arial"/>
                <w:sz w:val="12"/>
                <w:szCs w:val="12"/>
                <w:color w:val="0000EE"/>
                <w:w w:val="93"/>
              </w:rPr>
            </w:pPr>
            <w:hyperlink w:anchor="page98">
              <w:r>
                <w:rPr>
                  <w:rFonts w:ascii="Arial" w:cs="Arial" w:eastAsia="Arial" w:hAnsi="Arial"/>
                  <w:sz w:val="12"/>
                  <w:szCs w:val="12"/>
                  <w:color w:val="0000EE"/>
                  <w:w w:val="93"/>
                </w:rPr>
                <w:t>DEFAULTS UPON SENIOR SECURITIES</w:t>
              </w:r>
            </w:hyperlink>
          </w:p>
        </w:tc>
        <w:tc>
          <w:tcPr>
            <w:tcW w:w="5620" w:type="dxa"/>
            <w:vAlign w:val="bottom"/>
            <w:gridSpan w:val="18"/>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420" w:type="dxa"/>
            <w:vAlign w:val="bottom"/>
            <w:tcBorders>
              <w:bottom w:val="single" w:sz="8" w:color="0000EE"/>
            </w:tcBorders>
          </w:tcPr>
          <w:p>
            <w:pPr>
              <w:spacing w:after="0" w:line="124" w:lineRule="exact"/>
              <w:rPr>
                <w:rFonts w:ascii="Arial" w:cs="Arial" w:eastAsia="Arial" w:hAnsi="Arial"/>
                <w:sz w:val="12"/>
                <w:szCs w:val="12"/>
                <w:color w:val="0000EE"/>
                <w:w w:val="95"/>
              </w:rPr>
            </w:pPr>
            <w:hyperlink w:anchor="page98">
              <w:r>
                <w:rPr>
                  <w:rFonts w:ascii="Arial" w:cs="Arial" w:eastAsia="Arial" w:hAnsi="Arial"/>
                  <w:sz w:val="12"/>
                  <w:szCs w:val="12"/>
                  <w:color w:val="0000EE"/>
                  <w:w w:val="95"/>
                </w:rPr>
                <w:t>ITEM 4.</w:t>
              </w:r>
            </w:hyperlink>
          </w:p>
        </w:tc>
        <w:tc>
          <w:tcPr>
            <w:tcW w:w="400" w:type="dxa"/>
            <w:vAlign w:val="bottom"/>
            <w:gridSpan w:val="2"/>
          </w:tcPr>
          <w:p>
            <w:pPr>
              <w:spacing w:after="0"/>
              <w:rPr>
                <w:sz w:val="10"/>
                <w:szCs w:val="10"/>
                <w:color w:val="auto"/>
              </w:rPr>
            </w:pPr>
          </w:p>
        </w:tc>
        <w:tc>
          <w:tcPr>
            <w:tcW w:w="1660" w:type="dxa"/>
            <w:vAlign w:val="bottom"/>
            <w:tcBorders>
              <w:bottom w:val="single" w:sz="8" w:color="0000EE"/>
            </w:tcBorders>
            <w:gridSpan w:val="5"/>
          </w:tcPr>
          <w:p>
            <w:pPr>
              <w:ind w:left="20"/>
              <w:spacing w:after="0" w:line="124" w:lineRule="exact"/>
              <w:rPr>
                <w:rFonts w:ascii="Arial" w:cs="Arial" w:eastAsia="Arial" w:hAnsi="Arial"/>
                <w:sz w:val="12"/>
                <w:szCs w:val="12"/>
                <w:color w:val="0000EE"/>
                <w:w w:val="94"/>
              </w:rPr>
            </w:pPr>
            <w:hyperlink w:anchor="page98">
              <w:r>
                <w:rPr>
                  <w:rFonts w:ascii="Arial" w:cs="Arial" w:eastAsia="Arial" w:hAnsi="Arial"/>
                  <w:sz w:val="12"/>
                  <w:szCs w:val="12"/>
                  <w:color w:val="0000EE"/>
                  <w:w w:val="94"/>
                </w:rPr>
                <w:t>MINE SAFETY DISCLOSURES</w:t>
              </w:r>
            </w:hyperlink>
          </w:p>
        </w:tc>
        <w:tc>
          <w:tcPr>
            <w:tcW w:w="6100" w:type="dxa"/>
            <w:vAlign w:val="bottom"/>
            <w:gridSpan w:val="21"/>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420" w:type="dxa"/>
            <w:vAlign w:val="bottom"/>
          </w:tcPr>
          <w:p>
            <w:pPr>
              <w:spacing w:after="0" w:line="124" w:lineRule="exact"/>
              <w:rPr>
                <w:rFonts w:ascii="Arial" w:cs="Arial" w:eastAsia="Arial" w:hAnsi="Arial"/>
                <w:sz w:val="12"/>
                <w:szCs w:val="12"/>
                <w:color w:val="0000EE"/>
                <w:w w:val="95"/>
              </w:rPr>
            </w:pPr>
            <w:hyperlink w:anchor="page98">
              <w:r>
                <w:rPr>
                  <w:rFonts w:ascii="Arial" w:cs="Arial" w:eastAsia="Arial" w:hAnsi="Arial"/>
                  <w:sz w:val="12"/>
                  <w:szCs w:val="12"/>
                  <w:color w:val="0000EE"/>
                  <w:w w:val="95"/>
                </w:rPr>
                <w:t>ITEM 5.</w:t>
              </w:r>
            </w:hyperlink>
          </w:p>
        </w:tc>
        <w:tc>
          <w:tcPr>
            <w:tcW w:w="400" w:type="dxa"/>
            <w:vAlign w:val="bottom"/>
            <w:gridSpan w:val="2"/>
          </w:tcPr>
          <w:p>
            <w:pPr>
              <w:spacing w:after="0"/>
              <w:rPr>
                <w:sz w:val="10"/>
                <w:szCs w:val="10"/>
                <w:color w:val="auto"/>
              </w:rPr>
            </w:pPr>
          </w:p>
        </w:tc>
        <w:tc>
          <w:tcPr>
            <w:tcW w:w="7760" w:type="dxa"/>
            <w:vAlign w:val="bottom"/>
            <w:gridSpan w:val="26"/>
          </w:tcPr>
          <w:p>
            <w:pPr>
              <w:ind w:left="20"/>
              <w:spacing w:after="0" w:line="124" w:lineRule="exact"/>
              <w:rPr>
                <w:rFonts w:ascii="Arial" w:cs="Arial" w:eastAsia="Arial" w:hAnsi="Arial"/>
                <w:sz w:val="12"/>
                <w:szCs w:val="12"/>
                <w:color w:val="0000EE"/>
              </w:rPr>
            </w:pPr>
            <w:hyperlink w:anchor="page98">
              <w:r>
                <w:rPr>
                  <w:rFonts w:ascii="Arial" w:cs="Arial" w:eastAsia="Arial" w:hAnsi="Arial"/>
                  <w:sz w:val="12"/>
                  <w:szCs w:val="12"/>
                  <w:color w:val="0000EE"/>
                </w:rPr>
                <w:t>OTHER INFORMATION</w:t>
              </w:r>
            </w:hyperlink>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42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95"/>
              </w:rPr>
            </w:pPr>
            <w:hyperlink w:anchor="page99">
              <w:r>
                <w:rPr>
                  <w:rFonts w:ascii="Arial" w:cs="Arial" w:eastAsia="Arial" w:hAnsi="Arial"/>
                  <w:sz w:val="12"/>
                  <w:szCs w:val="12"/>
                  <w:color w:val="0000EE"/>
                  <w:w w:val="95"/>
                </w:rPr>
                <w:t>ITEM 6.</w:t>
              </w:r>
            </w:hyperlink>
          </w:p>
        </w:tc>
        <w:tc>
          <w:tcPr>
            <w:tcW w:w="400" w:type="dxa"/>
            <w:vAlign w:val="bottom"/>
            <w:gridSpan w:val="2"/>
          </w:tcPr>
          <w:p>
            <w:pPr>
              <w:spacing w:after="0"/>
              <w:rPr>
                <w:sz w:val="10"/>
                <w:szCs w:val="10"/>
                <w:color w:val="auto"/>
              </w:rPr>
            </w:pPr>
          </w:p>
        </w:tc>
        <w:tc>
          <w:tcPr>
            <w:tcW w:w="560" w:type="dxa"/>
            <w:vAlign w:val="bottom"/>
            <w:tcBorders>
              <w:top w:val="single" w:sz="8" w:color="0000EE"/>
              <w:bottom w:val="single" w:sz="8" w:color="0000EE"/>
            </w:tcBorders>
          </w:tcPr>
          <w:p>
            <w:pPr>
              <w:ind w:left="20"/>
              <w:spacing w:after="0" w:line="124" w:lineRule="exact"/>
              <w:rPr>
                <w:rFonts w:ascii="Arial" w:cs="Arial" w:eastAsia="Arial" w:hAnsi="Arial"/>
                <w:sz w:val="12"/>
                <w:szCs w:val="12"/>
                <w:color w:val="0000EE"/>
                <w:w w:val="94"/>
              </w:rPr>
            </w:pPr>
            <w:hyperlink w:anchor="page99">
              <w:r>
                <w:rPr>
                  <w:rFonts w:ascii="Arial" w:cs="Arial" w:eastAsia="Arial" w:hAnsi="Arial"/>
                  <w:sz w:val="12"/>
                  <w:szCs w:val="12"/>
                  <w:color w:val="0000EE"/>
                  <w:w w:val="94"/>
                </w:rPr>
                <w:t>EXHIBITS</w:t>
              </w:r>
            </w:hyperlink>
          </w:p>
        </w:tc>
        <w:tc>
          <w:tcPr>
            <w:tcW w:w="700" w:type="dxa"/>
            <w:vAlign w:val="bottom"/>
            <w:tcBorders>
              <w:top w:val="single" w:sz="8" w:color="0000EE"/>
            </w:tcBorders>
            <w:gridSpan w:val="2"/>
          </w:tcPr>
          <w:p>
            <w:pPr>
              <w:spacing w:after="0"/>
              <w:rPr>
                <w:sz w:val="10"/>
                <w:szCs w:val="10"/>
                <w:color w:val="auto"/>
              </w:rPr>
            </w:pPr>
          </w:p>
        </w:tc>
        <w:tc>
          <w:tcPr>
            <w:tcW w:w="6500" w:type="dxa"/>
            <w:vAlign w:val="bottom"/>
            <w:gridSpan w:val="23"/>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34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gridSpan w:val="15"/>
          </w:tcPr>
          <w:p>
            <w:pPr>
              <w:ind w:left="364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76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74"/>
        </w:trPr>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900" w:type="dxa"/>
            <w:vAlign w:val="bottom"/>
          </w:tcPr>
          <w:p>
            <w:pPr>
              <w:jc w:val="center"/>
              <w:ind w:left="1280"/>
              <w:spacing w:after="0"/>
              <w:rPr>
                <w:sz w:val="20"/>
                <w:szCs w:val="20"/>
                <w:color w:val="auto"/>
              </w:rPr>
            </w:pPr>
            <w:r>
              <w:rPr>
                <w:rFonts w:ascii="Arial" w:cs="Arial" w:eastAsia="Arial" w:hAnsi="Arial"/>
                <w:sz w:val="12"/>
                <w:szCs w:val="12"/>
                <w:b w:val="1"/>
                <w:bCs w:val="1"/>
                <w:color w:val="auto"/>
              </w:rPr>
              <w:t>PART I - FINANCIAL INFORMATION</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64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612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 (unaudited)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900" w:type="dxa"/>
            <w:vAlign w:val="bottom"/>
          </w:tcPr>
          <w:p>
            <w:pPr>
              <w:jc w:val="center"/>
              <w:ind w:left="1300"/>
              <w:spacing w:after="0"/>
              <w:rPr>
                <w:sz w:val="20"/>
                <w:szCs w:val="20"/>
                <w:color w:val="auto"/>
              </w:rPr>
            </w:pPr>
            <w:r>
              <w:rPr>
                <w:rFonts w:ascii="Arial" w:cs="Arial" w:eastAsia="Arial" w:hAnsi="Arial"/>
                <w:sz w:val="12"/>
                <w:szCs w:val="12"/>
                <w:b w:val="1"/>
                <w:bCs w:val="1"/>
                <w:color w:val="auto"/>
                <w:w w:val="97"/>
              </w:rPr>
              <w:t>FERRELLGAS PARTNERS, L.P. AND SUBSIDIARIES</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4"/>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jc w:val="center"/>
              <w:ind w:left="130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jc w:val="center"/>
              <w:ind w:left="1280"/>
              <w:spacing w:after="0"/>
              <w:rPr>
                <w:sz w:val="20"/>
                <w:szCs w:val="20"/>
                <w:color w:val="auto"/>
              </w:rPr>
            </w:pPr>
            <w:r>
              <w:rPr>
                <w:rFonts w:ascii="Arial" w:cs="Arial" w:eastAsia="Arial" w:hAnsi="Arial"/>
                <w:sz w:val="12"/>
                <w:szCs w:val="12"/>
                <w:b w:val="1"/>
                <w:bCs w:val="1"/>
                <w:color w:val="auto"/>
                <w:w w:val="88"/>
              </w:rPr>
              <w:t>(in thousands, except unit data)</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00" w:type="dxa"/>
            <w:vAlign w:val="bottom"/>
          </w:tcPr>
          <w:p>
            <w:pPr>
              <w:jc w:val="center"/>
              <w:ind w:left="1280"/>
              <w:spacing w:after="0"/>
              <w:rPr>
                <w:sz w:val="20"/>
                <w:szCs w:val="20"/>
                <w:color w:val="auto"/>
              </w:rPr>
            </w:pPr>
            <w:r>
              <w:rPr>
                <w:rFonts w:ascii="Arial" w:cs="Arial" w:eastAsia="Arial" w:hAnsi="Arial"/>
                <w:sz w:val="12"/>
                <w:szCs w:val="12"/>
                <w:b w:val="1"/>
                <w:bCs w:val="1"/>
                <w:color w:val="auto"/>
                <w:w w:val="91"/>
              </w:rPr>
              <w:t>(unaudited)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2"/>
        </w:trPr>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9"/>
              </w:rPr>
              <w:t>April 30, 2021</w:t>
            </w:r>
          </w:p>
        </w:tc>
        <w:tc>
          <w:tcPr>
            <w:tcW w:w="1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July 31, 2020</w:t>
            </w:r>
          </w:p>
        </w:tc>
      </w:tr>
      <w:tr>
        <w:trPr>
          <w:trHeight w:val="124"/>
        </w:trPr>
        <w:tc>
          <w:tcPr>
            <w:tcW w:w="6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CCEEFF"/>
            </w:tcBorders>
            <w:shd w:val="clear" w:color="auto" w:fill="CCEEFF"/>
          </w:tcPr>
          <w:p>
            <w:pPr>
              <w:spacing w:after="0"/>
              <w:rPr>
                <w:sz w:val="10"/>
                <w:szCs w:val="10"/>
                <w:color w:val="auto"/>
              </w:rPr>
            </w:pPr>
          </w:p>
        </w:tc>
        <w:tc>
          <w:tcPr>
            <w:tcW w:w="59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b w:val="1"/>
                <w:bCs w:val="1"/>
                <w:color w:val="auto"/>
              </w:rPr>
              <w:t>Current assets: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w w:val="98"/>
              </w:rPr>
              <w:t>Cash and cash equivalents (including $11,500 and $95,759 of restricted cash at April 30, 2021 and July 31, 2020,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222,849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333,761</w:t>
            </w:r>
          </w:p>
        </w:tc>
        <w:tc>
          <w:tcPr>
            <w:tcW w:w="20" w:type="dxa"/>
            <w:vAlign w:val="bottom"/>
          </w:tcPr>
          <w:p>
            <w:pPr>
              <w:spacing w:after="0"/>
              <w:rPr>
                <w:sz w:val="12"/>
                <w:szCs w:val="12"/>
                <w:color w:val="auto"/>
              </w:rPr>
            </w:pPr>
          </w:p>
        </w:tc>
      </w:tr>
      <w:tr>
        <w:trPr>
          <w:trHeight w:val="144"/>
        </w:trPr>
        <w:tc>
          <w:tcPr>
            <w:tcW w:w="6760" w:type="dxa"/>
            <w:vAlign w:val="bottom"/>
            <w:gridSpan w:val="3"/>
          </w:tcPr>
          <w:p>
            <w:pPr>
              <w:ind w:left="80"/>
              <w:spacing w:after="0"/>
              <w:rPr>
                <w:sz w:val="20"/>
                <w:szCs w:val="20"/>
                <w:color w:val="auto"/>
              </w:rPr>
            </w:pPr>
            <w:r>
              <w:rPr>
                <w:rFonts w:ascii="Arial" w:cs="Arial" w:eastAsia="Arial" w:hAnsi="Arial"/>
                <w:sz w:val="12"/>
                <w:szCs w:val="12"/>
                <w:color w:val="auto"/>
              </w:rPr>
              <w:t>Accounts and notes receivable, net (including $103,703 of accounts receivable pledged as collateral at July 31, 2020)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170,516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101,438</w:t>
            </w:r>
          </w:p>
        </w:tc>
        <w:tc>
          <w:tcPr>
            <w:tcW w:w="20" w:type="dxa"/>
            <w:vAlign w:val="bottom"/>
          </w:tcPr>
          <w:p>
            <w:pPr>
              <w:spacing w:after="0"/>
              <w:rPr>
                <w:sz w:val="12"/>
                <w:szCs w:val="12"/>
                <w:color w:val="auto"/>
              </w:rPr>
            </w:pPr>
          </w:p>
        </w:tc>
      </w:tr>
      <w:tr>
        <w:trPr>
          <w:trHeight w:val="144"/>
        </w:trPr>
        <w:tc>
          <w:tcPr>
            <w:tcW w:w="640" w:type="dxa"/>
            <w:vAlign w:val="bottom"/>
            <w:shd w:val="clear" w:color="auto" w:fill="CCEEFF"/>
          </w:tcPr>
          <w:p>
            <w:pPr>
              <w:ind w:left="80"/>
              <w:spacing w:after="0"/>
              <w:rPr>
                <w:sz w:val="20"/>
                <w:szCs w:val="20"/>
                <w:color w:val="auto"/>
              </w:rPr>
            </w:pPr>
            <w:r>
              <w:rPr>
                <w:rFonts w:ascii="Arial" w:cs="Arial" w:eastAsia="Arial" w:hAnsi="Arial"/>
                <w:sz w:val="12"/>
                <w:szCs w:val="12"/>
                <w:color w:val="auto"/>
                <w:w w:val="91"/>
              </w:rPr>
              <w:t>Inventories</w:t>
            </w:r>
          </w:p>
        </w:tc>
        <w:tc>
          <w:tcPr>
            <w:tcW w:w="22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72,664</w:t>
            </w:r>
          </w:p>
        </w:tc>
        <w:tc>
          <w:tcPr>
            <w:tcW w:w="20" w:type="dxa"/>
            <w:vAlign w:val="bottom"/>
          </w:tcPr>
          <w:p>
            <w:pPr>
              <w:spacing w:after="0"/>
              <w:rPr>
                <w:sz w:val="12"/>
                <w:szCs w:val="12"/>
                <w:color w:val="auto"/>
              </w:rPr>
            </w:pPr>
          </w:p>
        </w:tc>
      </w:tr>
      <w:tr>
        <w:trPr>
          <w:trHeight w:val="144"/>
        </w:trPr>
        <w:tc>
          <w:tcPr>
            <w:tcW w:w="6760" w:type="dxa"/>
            <w:vAlign w:val="bottom"/>
            <w:tcBorders>
              <w:bottom w:val="single" w:sz="8" w:color="CCEEFF"/>
            </w:tcBorders>
            <w:gridSpan w:val="3"/>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73,984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35,944</w:t>
            </w:r>
          </w:p>
        </w:tc>
        <w:tc>
          <w:tcPr>
            <w:tcW w:w="20" w:type="dxa"/>
            <w:vAlign w:val="bottom"/>
          </w:tcPr>
          <w:p>
            <w:pPr>
              <w:spacing w:after="0"/>
              <w:rPr>
                <w:sz w:val="12"/>
                <w:szCs w:val="12"/>
                <w:color w:val="auto"/>
              </w:rPr>
            </w:pPr>
          </w:p>
        </w:tc>
      </w:tr>
      <w:tr>
        <w:trPr>
          <w:trHeight w:val="133"/>
        </w:trPr>
        <w:tc>
          <w:tcPr>
            <w:tcW w:w="6760" w:type="dxa"/>
            <w:vAlign w:val="bottom"/>
            <w:gridSpan w:val="3"/>
            <w:shd w:val="clear" w:color="auto" w:fill="CCEEFF"/>
          </w:tcPr>
          <w:p>
            <w:pPr>
              <w:ind w:left="140"/>
              <w:spacing w:after="0" w:line="133" w:lineRule="exact"/>
              <w:rPr>
                <w:sz w:val="20"/>
                <w:szCs w:val="20"/>
                <w:color w:val="auto"/>
              </w:rPr>
            </w:pPr>
            <w:r>
              <w:rPr>
                <w:rFonts w:ascii="Arial" w:cs="Arial" w:eastAsia="Arial" w:hAnsi="Arial"/>
                <w:sz w:val="12"/>
                <w:szCs w:val="12"/>
                <w:b w:val="1"/>
                <w:bCs w:val="1"/>
                <w:color w:val="auto"/>
              </w:rPr>
              <w:t>Total current assets</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537,091</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543,807</w:t>
            </w:r>
          </w:p>
        </w:tc>
        <w:tc>
          <w:tcPr>
            <w:tcW w:w="20" w:type="dxa"/>
            <w:vAlign w:val="bottom"/>
          </w:tcPr>
          <w:p>
            <w:pPr>
              <w:spacing w:after="0"/>
              <w:rPr>
                <w:sz w:val="11"/>
                <w:szCs w:val="11"/>
                <w:color w:val="auto"/>
              </w:rPr>
            </w:pPr>
          </w:p>
        </w:tc>
      </w:tr>
      <w:tr>
        <w:trPr>
          <w:trHeight w:val="144"/>
        </w:trPr>
        <w:tc>
          <w:tcPr>
            <w:tcW w:w="67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582,838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591,042</w:t>
            </w: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Goodwill, net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246,946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247,195</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Intangible assets (net of accumulated amortization of $429,135 and $423,290 at April 30, 2021 and July 31, 2020, respectively)</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104,049</w:t>
            </w: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Operating lease right-of-use assets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93,341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107,349</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86,914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74,748</w:t>
            </w:r>
          </w:p>
        </w:tc>
        <w:tc>
          <w:tcPr>
            <w:tcW w:w="20" w:type="dxa"/>
            <w:vAlign w:val="bottom"/>
          </w:tcPr>
          <w:p>
            <w:pPr>
              <w:spacing w:after="0"/>
              <w:rPr>
                <w:sz w:val="12"/>
                <w:szCs w:val="12"/>
                <w:color w:val="auto"/>
              </w:rPr>
            </w:pPr>
          </w:p>
        </w:tc>
      </w:tr>
      <w:tr>
        <w:trPr>
          <w:trHeight w:val="140"/>
        </w:trPr>
        <w:tc>
          <w:tcPr>
            <w:tcW w:w="6760" w:type="dxa"/>
            <w:vAlign w:val="bottom"/>
            <w:tcBorders>
              <w:bottom w:val="single" w:sz="8" w:color="CCEEFF"/>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Total assets</w:t>
            </w: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1,644,690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1,668,190</w:t>
            </w:r>
          </w:p>
        </w:tc>
        <w:tc>
          <w:tcPr>
            <w:tcW w:w="20" w:type="dxa"/>
            <w:vAlign w:val="bottom"/>
          </w:tcPr>
          <w:p>
            <w:pPr>
              <w:spacing w:after="0"/>
              <w:rPr>
                <w:sz w:val="12"/>
                <w:szCs w:val="12"/>
                <w:color w:val="auto"/>
              </w:rPr>
            </w:pPr>
          </w:p>
        </w:tc>
      </w:tr>
      <w:tr>
        <w:trPr>
          <w:trHeight w:val="144"/>
        </w:trPr>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b w:val="1"/>
                <w:bCs w:val="1"/>
                <w:color w:val="auto"/>
              </w:rPr>
              <w:t>LIABILITIES, MEZZANINE AND EQUITY</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ind w:left="80"/>
              <w:spacing w:after="0"/>
              <w:rPr>
                <w:sz w:val="20"/>
                <w:szCs w:val="20"/>
                <w:color w:val="auto"/>
              </w:rPr>
            </w:pPr>
            <w:r>
              <w:rPr>
                <w:rFonts w:ascii="Arial" w:cs="Arial" w:eastAsia="Arial" w:hAnsi="Arial"/>
                <w:sz w:val="12"/>
                <w:szCs w:val="12"/>
                <w:color w:val="auto"/>
              </w:rPr>
              <w:t>Accounts payable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54,320</w:t>
            </w:r>
          </w:p>
        </w:tc>
        <w:tc>
          <w:tcPr>
            <w:tcW w:w="18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33,944</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Current portion of long-term debt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859,095</w:t>
            </w:r>
          </w:p>
        </w:tc>
        <w:tc>
          <w:tcPr>
            <w:tcW w:w="20" w:type="dxa"/>
            <w:vAlign w:val="bottom"/>
          </w:tcPr>
          <w:p>
            <w:pPr>
              <w:spacing w:after="0"/>
              <w:rPr>
                <w:sz w:val="12"/>
                <w:szCs w:val="12"/>
                <w:color w:val="auto"/>
              </w:rPr>
            </w:pPr>
          </w:p>
        </w:tc>
      </w:tr>
      <w:tr>
        <w:trPr>
          <w:trHeight w:val="144"/>
        </w:trPr>
        <w:tc>
          <w:tcPr>
            <w:tcW w:w="6760" w:type="dxa"/>
            <w:vAlign w:val="bottom"/>
            <w:gridSpan w:val="3"/>
          </w:tcPr>
          <w:p>
            <w:pPr>
              <w:ind w:left="80"/>
              <w:spacing w:after="0"/>
              <w:rPr>
                <w:sz w:val="20"/>
                <w:szCs w:val="20"/>
                <w:color w:val="auto"/>
              </w:rPr>
            </w:pPr>
            <w:r>
              <w:rPr>
                <w:rFonts w:ascii="Arial" w:cs="Arial" w:eastAsia="Arial" w:hAnsi="Arial"/>
                <w:sz w:val="12"/>
                <w:szCs w:val="12"/>
                <w:color w:val="auto"/>
              </w:rPr>
              <w:t>Current operating lease liabilities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26,669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29,345</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Other current liabilities</w:t>
            </w: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178,514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167,466</w:t>
            </w:r>
          </w:p>
        </w:tc>
        <w:tc>
          <w:tcPr>
            <w:tcW w:w="20" w:type="dxa"/>
            <w:vAlign w:val="bottom"/>
          </w:tcPr>
          <w:p>
            <w:pPr>
              <w:spacing w:after="0"/>
              <w:rPr>
                <w:sz w:val="12"/>
                <w:szCs w:val="12"/>
                <w:color w:val="auto"/>
              </w:rPr>
            </w:pPr>
          </w:p>
        </w:tc>
      </w:tr>
      <w:tr>
        <w:trPr>
          <w:trHeight w:val="133"/>
        </w:trPr>
        <w:tc>
          <w:tcPr>
            <w:tcW w:w="6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Total current liabilities</w:t>
            </w: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261,068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1,089,850</w:t>
            </w:r>
          </w:p>
        </w:tc>
        <w:tc>
          <w:tcPr>
            <w:tcW w:w="20" w:type="dxa"/>
            <w:vAlign w:val="bottom"/>
          </w:tcPr>
          <w:p>
            <w:pPr>
              <w:spacing w:after="0"/>
              <w:rPr>
                <w:sz w:val="11"/>
                <w:szCs w:val="11"/>
                <w:color w:val="auto"/>
              </w:rPr>
            </w:pPr>
          </w:p>
        </w:tc>
      </w:tr>
      <w:tr>
        <w:trPr>
          <w:trHeight w:val="144"/>
        </w:trPr>
        <w:tc>
          <w:tcPr>
            <w:tcW w:w="6760" w:type="dxa"/>
            <w:vAlign w:val="bottom"/>
            <w:gridSpan w:val="3"/>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Long-term debt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1,443,095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1,646,396</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89,022</w:t>
            </w: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Other liabilities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51,427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51,190</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Contingencies and commitments (Note M)</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Mezzanine equity:</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Senior preferred units, net of issue discount and offering costs (700,000 units outstanding at April 30, 2021)</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651,854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2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Common unitholders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gridSpan w:val="3"/>
          </w:tcPr>
          <w:p>
            <w:pPr>
              <w:ind w:left="80"/>
              <w:spacing w:after="0"/>
              <w:rPr>
                <w:sz w:val="20"/>
                <w:szCs w:val="20"/>
                <w:color w:val="auto"/>
              </w:rPr>
            </w:pPr>
            <w:r>
              <w:rPr>
                <w:rFonts w:ascii="Arial" w:cs="Arial" w:eastAsia="Arial" w:hAnsi="Arial"/>
                <w:sz w:val="12"/>
                <w:szCs w:val="12"/>
                <w:color w:val="auto"/>
              </w:rPr>
              <w:t>Class A (4,857,605 units outstanding at April 30, 2021 and July 31, 2020)</w:t>
            </w:r>
          </w:p>
        </w:tc>
        <w:tc>
          <w:tcPr>
            <w:tcW w:w="1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(1,181,241)</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(1,126,452)</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Class B (1,300,000 units outstanding at April 30, 2021)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6760" w:type="dxa"/>
            <w:vAlign w:val="bottom"/>
            <w:gridSpan w:val="3"/>
          </w:tcPr>
          <w:p>
            <w:pPr>
              <w:spacing w:after="0"/>
              <w:rPr>
                <w:sz w:val="20"/>
                <w:szCs w:val="20"/>
                <w:color w:val="auto"/>
              </w:rPr>
            </w:pPr>
            <w:r>
              <w:rPr>
                <w:rFonts w:ascii="Arial" w:cs="Arial" w:eastAsia="Arial" w:hAnsi="Arial"/>
                <w:sz w:val="12"/>
                <w:szCs w:val="12"/>
                <w:color w:val="auto"/>
              </w:rPr>
              <w:t>General partner unitholder (49,496 units outstanding at April 30, 2021 and July 31, 2020)</w:t>
            </w:r>
          </w:p>
        </w:tc>
        <w:tc>
          <w:tcPr>
            <w:tcW w:w="1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(71,840)</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(71,287)</w:t>
            </w:r>
          </w:p>
        </w:tc>
        <w:tc>
          <w:tcPr>
            <w:tcW w:w="20" w:type="dxa"/>
            <w:vAlign w:val="bottom"/>
          </w:tcPr>
          <w:p>
            <w:pPr>
              <w:spacing w:after="0"/>
              <w:rPr>
                <w:sz w:val="12"/>
                <w:szCs w:val="12"/>
                <w:color w:val="auto"/>
              </w:rPr>
            </w:pPr>
          </w:p>
        </w:tc>
      </w:tr>
      <w:tr>
        <w:trPr>
          <w:trHeight w:val="144"/>
        </w:trPr>
        <w:tc>
          <w:tcPr>
            <w:tcW w:w="67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Accumulated other comprehensive income (loss)</w:t>
            </w: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31,845</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(2,303)</w:t>
            </w:r>
          </w:p>
        </w:tc>
        <w:tc>
          <w:tcPr>
            <w:tcW w:w="20" w:type="dxa"/>
            <w:vAlign w:val="bottom"/>
          </w:tcPr>
          <w:p>
            <w:pPr>
              <w:spacing w:after="0"/>
              <w:rPr>
                <w:sz w:val="12"/>
                <w:szCs w:val="12"/>
                <w:color w:val="auto"/>
              </w:rPr>
            </w:pPr>
          </w:p>
        </w:tc>
      </w:tr>
      <w:tr>
        <w:trPr>
          <w:trHeight w:val="133"/>
        </w:trPr>
        <w:tc>
          <w:tcPr>
            <w:tcW w:w="6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Total Ferrellgas Partners, L.P. equity</w:t>
            </w: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(833,089)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(1,200,042)</w:t>
            </w:r>
          </w:p>
        </w:tc>
        <w:tc>
          <w:tcPr>
            <w:tcW w:w="20" w:type="dxa"/>
            <w:vAlign w:val="bottom"/>
          </w:tcPr>
          <w:p>
            <w:pPr>
              <w:spacing w:after="0"/>
              <w:rPr>
                <w:sz w:val="11"/>
                <w:szCs w:val="11"/>
                <w:color w:val="auto"/>
              </w:rPr>
            </w:pPr>
          </w:p>
        </w:tc>
      </w:tr>
      <w:tr>
        <w:trPr>
          <w:trHeight w:val="144"/>
        </w:trPr>
        <w:tc>
          <w:tcPr>
            <w:tcW w:w="676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Noncontrolling interest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(8,163)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(8,226)</w:t>
            </w:r>
          </w:p>
        </w:tc>
        <w:tc>
          <w:tcPr>
            <w:tcW w:w="20" w:type="dxa"/>
            <w:vAlign w:val="bottom"/>
          </w:tcPr>
          <w:p>
            <w:pPr>
              <w:spacing w:after="0"/>
              <w:rPr>
                <w:sz w:val="12"/>
                <w:szCs w:val="12"/>
                <w:color w:val="auto"/>
              </w:rPr>
            </w:pPr>
          </w:p>
        </w:tc>
      </w:tr>
      <w:tr>
        <w:trPr>
          <w:trHeight w:val="133"/>
        </w:trPr>
        <w:tc>
          <w:tcPr>
            <w:tcW w:w="6760" w:type="dxa"/>
            <w:vAlign w:val="bottom"/>
            <w:tcBorders>
              <w:bottom w:val="single" w:sz="8" w:color="CCEEFF"/>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Total equity</w:t>
            </w: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(841,252)</w:t>
            </w:r>
          </w:p>
        </w:tc>
        <w:tc>
          <w:tcPr>
            <w:tcW w:w="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(1,208,268)</w:t>
            </w:r>
          </w:p>
        </w:tc>
        <w:tc>
          <w:tcPr>
            <w:tcW w:w="20" w:type="dxa"/>
            <w:vAlign w:val="bottom"/>
          </w:tcPr>
          <w:p>
            <w:pPr>
              <w:spacing w:after="0"/>
              <w:rPr>
                <w:sz w:val="11"/>
                <w:szCs w:val="11"/>
                <w:color w:val="auto"/>
              </w:rPr>
            </w:pPr>
          </w:p>
        </w:tc>
      </w:tr>
      <w:tr>
        <w:trPr>
          <w:trHeight w:val="153"/>
        </w:trPr>
        <w:tc>
          <w:tcPr>
            <w:tcW w:w="6760" w:type="dxa"/>
            <w:vAlign w:val="bottom"/>
            <w:tcBorders>
              <w:bottom w:val="single" w:sz="8" w:color="CCEEFF"/>
            </w:tcBorders>
            <w:gridSpan w:val="3"/>
            <w:shd w:val="clear" w:color="auto" w:fill="CCEEFF"/>
          </w:tcPr>
          <w:p>
            <w:pPr>
              <w:ind w:left="140"/>
              <w:spacing w:after="0" w:line="133" w:lineRule="exact"/>
              <w:rPr>
                <w:sz w:val="20"/>
                <w:szCs w:val="20"/>
                <w:color w:val="auto"/>
              </w:rPr>
            </w:pPr>
            <w:r>
              <w:rPr>
                <w:rFonts w:ascii="Arial" w:cs="Arial" w:eastAsia="Arial" w:hAnsi="Arial"/>
                <w:sz w:val="12"/>
                <w:szCs w:val="12"/>
                <w:b w:val="1"/>
                <w:bCs w:val="1"/>
                <w:color w:val="auto"/>
              </w:rPr>
              <w:t>Total liabilities, mezzanine and equity</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1,644,690</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1,668,190</w:t>
            </w:r>
          </w:p>
        </w:tc>
        <w:tc>
          <w:tcPr>
            <w:tcW w:w="20" w:type="dxa"/>
            <w:vAlign w:val="bottom"/>
          </w:tcPr>
          <w:p>
            <w:pPr>
              <w:spacing w:after="0"/>
              <w:rPr>
                <w:sz w:val="13"/>
                <w:szCs w:val="13"/>
                <w:color w:val="auto"/>
              </w:rPr>
            </w:pPr>
          </w:p>
        </w:tc>
      </w:tr>
      <w:tr>
        <w:trPr>
          <w:trHeight w:val="131"/>
        </w:trPr>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900" w:type="dxa"/>
            <w:vAlign w:val="bottom"/>
          </w:tcPr>
          <w:p>
            <w:pPr>
              <w:jc w:val="center"/>
              <w:ind w:left="1280"/>
              <w:spacing w:after="0" w:line="131" w:lineRule="exact"/>
              <w:rPr>
                <w:sz w:val="20"/>
                <w:szCs w:val="20"/>
                <w:color w:val="auto"/>
              </w:rPr>
            </w:pPr>
            <w:r>
              <w:rPr>
                <w:rFonts w:ascii="Arial" w:cs="Arial" w:eastAsia="Arial" w:hAnsi="Arial"/>
                <w:sz w:val="12"/>
                <w:szCs w:val="12"/>
                <w:color w:val="auto"/>
                <w:w w:val="88"/>
              </w:rPr>
              <w:t>See notes to condensed consolidated financial statements.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68"/>
        </w:trPr>
        <w:tc>
          <w:tcPr>
            <w:tcW w:w="640" w:type="dxa"/>
            <w:vAlign w:val="bottom"/>
          </w:tcPr>
          <w:p>
            <w:pPr>
              <w:spacing w:after="0"/>
              <w:rPr>
                <w:sz w:val="24"/>
                <w:szCs w:val="24"/>
                <w:color w:val="auto"/>
              </w:rPr>
            </w:pPr>
          </w:p>
        </w:tc>
        <w:tc>
          <w:tcPr>
            <w:tcW w:w="6120" w:type="dxa"/>
            <w:vAlign w:val="bottom"/>
            <w:gridSpan w:val="2"/>
          </w:tcPr>
          <w:p>
            <w:pPr>
              <w:jc w:val="center"/>
              <w:ind w:left="1520"/>
              <w:spacing w:after="0"/>
              <w:rPr>
                <w:sz w:val="20"/>
                <w:szCs w:val="20"/>
                <w:color w:val="auto"/>
              </w:rPr>
            </w:pPr>
            <w:r>
              <w:rPr>
                <w:rFonts w:ascii="Arial" w:cs="Arial" w:eastAsia="Arial" w:hAnsi="Arial"/>
                <w:sz w:val="12"/>
                <w:szCs w:val="12"/>
                <w:color w:val="auto"/>
                <w:w w:val="89"/>
              </w:rPr>
              <w:t>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3" w:name="page4"/>
    <w:bookmarkEnd w:id="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unit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89"/>
              </w:rPr>
              <w:t>For the three months ended April 30,</w:t>
            </w:r>
          </w:p>
        </w:tc>
        <w:tc>
          <w:tcPr>
            <w:tcW w:w="180" w:type="dxa"/>
            <w:vAlign w:val="bottom"/>
          </w:tcPr>
          <w:p>
            <w:pPr>
              <w:spacing w:after="0"/>
              <w:rPr>
                <w:sz w:val="10"/>
                <w:szCs w:val="10"/>
                <w:color w:val="auto"/>
              </w:rPr>
            </w:pPr>
          </w:p>
        </w:tc>
        <w:tc>
          <w:tcPr>
            <w:tcW w:w="196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w w:val="92"/>
              </w:rPr>
              <w:t>For the nine months ended April 30,</w:t>
            </w:r>
          </w:p>
        </w:tc>
      </w:tr>
      <w:tr>
        <w:trPr>
          <w:trHeight w:val="88"/>
        </w:trPr>
        <w:tc>
          <w:tcPr>
            <w:tcW w:w="48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281"/>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60"/>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41"/>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80"/>
              <w:spacing w:after="0" w:line="88" w:lineRule="exact"/>
              <w:rPr>
                <w:sz w:val="20"/>
                <w:szCs w:val="20"/>
                <w:color w:val="auto"/>
              </w:rPr>
            </w:pPr>
            <w:r>
              <w:rPr>
                <w:rFonts w:ascii="Arial" w:cs="Arial" w:eastAsia="Arial" w:hAnsi="Arial"/>
                <w:sz w:val="10"/>
                <w:szCs w:val="10"/>
                <w:b w:val="1"/>
                <w:bCs w:val="1"/>
                <w:color w:val="auto"/>
              </w:rPr>
              <w:t>2020</w:t>
            </w: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Revenues:</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r>
      <w:tr>
        <w:trPr>
          <w:trHeight w:val="144"/>
        </w:trPr>
        <w:tc>
          <w:tcPr>
            <w:tcW w:w="4820" w:type="dxa"/>
            <w:vAlign w:val="bottom"/>
          </w:tcPr>
          <w:p>
            <w:pPr>
              <w:ind w:left="80"/>
              <w:spacing w:after="0"/>
              <w:rPr>
                <w:sz w:val="20"/>
                <w:szCs w:val="20"/>
                <w:color w:val="auto"/>
              </w:rPr>
            </w:pPr>
            <w:r>
              <w:rPr>
                <w:rFonts w:ascii="Arial" w:cs="Arial" w:eastAsia="Arial" w:hAnsi="Arial"/>
                <w:sz w:val="12"/>
                <w:szCs w:val="12"/>
                <w:color w:val="auto"/>
              </w:rPr>
              <w:t>Propane and other gas liquids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542,036</w:t>
            </w:r>
          </w:p>
        </w:tc>
        <w:tc>
          <w:tcPr>
            <w:tcW w:w="16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391,745</w:t>
            </w:r>
          </w:p>
        </w:tc>
        <w:tc>
          <w:tcPr>
            <w:tcW w:w="1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1,351,519</w:t>
            </w:r>
          </w:p>
        </w:tc>
        <w:tc>
          <w:tcPr>
            <w:tcW w:w="14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1,150,377</w:t>
            </w:r>
          </w:p>
        </w:tc>
      </w:tr>
      <w:tr>
        <w:trPr>
          <w:trHeight w:val="144"/>
        </w:trPr>
        <w:tc>
          <w:tcPr>
            <w:tcW w:w="4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22,694</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20,385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67,665</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65,800</w:t>
            </w:r>
          </w:p>
        </w:tc>
      </w:tr>
      <w:tr>
        <w:trPr>
          <w:trHeight w:val="133"/>
        </w:trPr>
        <w:tc>
          <w:tcPr>
            <w:tcW w:w="4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Total revenues</w:t>
            </w:r>
          </w:p>
        </w:tc>
        <w:tc>
          <w:tcPr>
            <w:tcW w:w="1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564,730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412,130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1,419,184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1,216,177</w:t>
            </w:r>
          </w:p>
        </w:tc>
      </w:tr>
      <w:tr>
        <w:trPr>
          <w:trHeight w:val="144"/>
        </w:trPr>
        <w:tc>
          <w:tcPr>
            <w:tcW w:w="4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b w:val="1"/>
                <w:bCs w:val="1"/>
                <w:color w:val="auto"/>
              </w:rPr>
              <w:t>Costs and expenses: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 of sales - propane and other gas liquids sales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298,386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176,265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706,790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548,136</w:t>
            </w:r>
          </w:p>
        </w:tc>
      </w:tr>
      <w:tr>
        <w:trPr>
          <w:trHeight w:val="144"/>
        </w:trPr>
        <w:tc>
          <w:tcPr>
            <w:tcW w:w="4820" w:type="dxa"/>
            <w:vAlign w:val="bottom"/>
          </w:tcPr>
          <w:p>
            <w:pPr>
              <w:ind w:left="80"/>
              <w:spacing w:after="0"/>
              <w:rPr>
                <w:sz w:val="20"/>
                <w:szCs w:val="20"/>
                <w:color w:val="auto"/>
              </w:rPr>
            </w:pPr>
            <w:r>
              <w:rPr>
                <w:rFonts w:ascii="Arial" w:cs="Arial" w:eastAsia="Arial" w:hAnsi="Arial"/>
                <w:sz w:val="12"/>
                <w:szCs w:val="12"/>
                <w:color w:val="auto"/>
              </w:rPr>
              <w:t>Cost of sales - other</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2,985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2,740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10,156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9,774</w:t>
            </w:r>
          </w:p>
        </w:tc>
      </w:tr>
      <w:tr>
        <w:trPr>
          <w:trHeight w:val="144"/>
        </w:trPr>
        <w:tc>
          <w:tcPr>
            <w:tcW w:w="4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expense - personnel, vehicle, plant and other</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124,624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121,558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348,898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364,334</w:t>
            </w:r>
          </w:p>
        </w:tc>
      </w:tr>
      <w:tr>
        <w:trPr>
          <w:trHeight w:val="144"/>
        </w:trPr>
        <w:tc>
          <w:tcPr>
            <w:tcW w:w="4820" w:type="dxa"/>
            <w:vAlign w:val="bottom"/>
          </w:tcPr>
          <w:p>
            <w:pPr>
              <w:ind w:left="80"/>
              <w:spacing w:after="0"/>
              <w:rPr>
                <w:sz w:val="20"/>
                <w:szCs w:val="20"/>
                <w:color w:val="auto"/>
              </w:rPr>
            </w:pPr>
            <w:r>
              <w:rPr>
                <w:rFonts w:ascii="Arial" w:cs="Arial" w:eastAsia="Arial" w:hAnsi="Arial"/>
                <w:sz w:val="12"/>
                <w:szCs w:val="12"/>
                <w:color w:val="auto"/>
              </w:rPr>
              <w:t>Operating expense - equipment lease expense</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6,770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8,075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20,462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24,724</w:t>
            </w:r>
          </w:p>
        </w:tc>
      </w:tr>
      <w:tr>
        <w:trPr>
          <w:trHeight w:val="144"/>
        </w:trPr>
        <w:tc>
          <w:tcPr>
            <w:tcW w:w="4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 expense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59,380</w:t>
            </w:r>
          </w:p>
        </w:tc>
      </w:tr>
      <w:tr>
        <w:trPr>
          <w:trHeight w:val="144"/>
        </w:trPr>
        <w:tc>
          <w:tcPr>
            <w:tcW w:w="4820" w:type="dxa"/>
            <w:vAlign w:val="bottom"/>
          </w:tcPr>
          <w:p>
            <w:pPr>
              <w:ind w:left="80"/>
              <w:spacing w:after="0"/>
              <w:rPr>
                <w:sz w:val="20"/>
                <w:szCs w:val="20"/>
                <w:color w:val="auto"/>
              </w:rPr>
            </w:pPr>
            <w:r>
              <w:rPr>
                <w:rFonts w:ascii="Arial" w:cs="Arial" w:eastAsia="Arial" w:hAnsi="Arial"/>
                <w:sz w:val="12"/>
                <w:szCs w:val="12"/>
                <w:color w:val="auto"/>
              </w:rPr>
              <w:t>General and administrative expense</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15,205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12,560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48,760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36,447</w:t>
            </w:r>
          </w:p>
        </w:tc>
      </w:tr>
      <w:tr>
        <w:trPr>
          <w:trHeight w:val="144"/>
        </w:trPr>
        <w:tc>
          <w:tcPr>
            <w:tcW w:w="4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Non-cash employee stock ownership plan compensation charge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2,182</w:t>
            </w:r>
          </w:p>
        </w:tc>
      </w:tr>
      <w:tr>
        <w:trPr>
          <w:trHeight w:val="144"/>
        </w:trPr>
        <w:tc>
          <w:tcPr>
            <w:tcW w:w="4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Loss on asset sales and disposals</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2,238</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6,242</w:t>
            </w:r>
          </w:p>
        </w:tc>
      </w:tr>
      <w:tr>
        <w:trPr>
          <w:trHeight w:val="133"/>
        </w:trPr>
        <w:tc>
          <w:tcPr>
            <w:tcW w:w="4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93,323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67,950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215,679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164,958</w:t>
            </w:r>
          </w:p>
        </w:tc>
      </w:tr>
      <w:tr>
        <w:trPr>
          <w:trHeight w:val="144"/>
        </w:trPr>
        <w:tc>
          <w:tcPr>
            <w:tcW w:w="4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Interest expense</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(42,189)</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(45,703)</w:t>
            </w: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(149,010)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(138,948)</w:t>
            </w: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(109,922)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(37,399)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(109,922)</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(37,399)</w:t>
            </w: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(158)</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4,169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(214)</w:t>
            </w: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expense - professional fees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(9,007)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(10,207)</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before income taxes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(67,242)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(15,310)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(49,291)</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(11,603)</w:t>
            </w: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794</w:t>
            </w:r>
          </w:p>
        </w:tc>
      </w:tr>
      <w:tr>
        <w:trPr>
          <w:trHeight w:val="133"/>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(67,435)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(15,471)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(49,897)</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(12,397)</w:t>
            </w: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Net earnings (loss) attributable to noncontrolling interest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(641)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(308)</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133</w:t>
            </w: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Ferrellgas Partners, L.P.</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(66,794)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(15,393)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(49,589)</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(12,530)</w:t>
            </w: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preferred unitholders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Less: General partner's interest in net loss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(576)</w:t>
            </w: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w:t>
            </w: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51"/>
        </w:trPr>
        <w:tc>
          <w:tcPr>
            <w:tcW w:w="4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Class A unitholders' interest in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(74,057)</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(15,239)</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(57,024)</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(12,405)</w:t>
            </w:r>
          </w:p>
        </w:tc>
      </w:tr>
      <w:tr>
        <w:trPr>
          <w:trHeight w:val="144"/>
        </w:trPr>
        <w:tc>
          <w:tcPr>
            <w:tcW w:w="48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and diluted net loss per Class A common unit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(15.25)</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(3.14)</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(11.74)</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(2.55)</w:t>
            </w:r>
          </w:p>
        </w:tc>
      </w:tr>
      <w:tr>
        <w:trPr>
          <w:trHeight w:val="27"/>
        </w:trPr>
        <w:tc>
          <w:tcPr>
            <w:tcW w:w="4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 w:name="page5"/>
    <w:bookmarkEnd w:id="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right"/>
              <w:ind w:right="101"/>
              <w:spacing w:after="0"/>
              <w:rPr>
                <w:sz w:val="20"/>
                <w:szCs w:val="20"/>
                <w:color w:val="auto"/>
              </w:rPr>
            </w:pPr>
            <w:r>
              <w:rPr>
                <w:rFonts w:ascii="Arial" w:cs="Arial" w:eastAsia="Arial" w:hAnsi="Arial"/>
                <w:sz w:val="10"/>
                <w:szCs w:val="10"/>
                <w:b w:val="1"/>
                <w:bCs w:val="1"/>
                <w:color w:val="auto"/>
                <w:w w:val="88"/>
              </w:rPr>
              <w:t>For the three months ended April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5"/>
          </w:tcPr>
          <w:p>
            <w:pPr>
              <w:ind w:left="40"/>
              <w:spacing w:after="0"/>
              <w:rPr>
                <w:sz w:val="20"/>
                <w:szCs w:val="20"/>
                <w:color w:val="auto"/>
              </w:rPr>
            </w:pPr>
            <w:r>
              <w:rPr>
                <w:rFonts w:ascii="Arial" w:cs="Arial" w:eastAsia="Arial" w:hAnsi="Arial"/>
                <w:sz w:val="10"/>
                <w:szCs w:val="10"/>
                <w:b w:val="1"/>
                <w:bCs w:val="1"/>
                <w:color w:val="auto"/>
                <w:w w:val="99"/>
              </w:rPr>
              <w:t>For the nine months ended April 30,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62"/>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62"/>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(67,435)</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(15,471)</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(49,897)</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Other comprehensive income (loss):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Change in value of risk management derivatives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63,170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Pr>
          <w:p>
            <w:pPr>
              <w:ind w:left="40"/>
              <w:spacing w:after="0"/>
              <w:rPr>
                <w:sz w:val="20"/>
                <w:szCs w:val="20"/>
                <w:color w:val="auto"/>
              </w:rPr>
            </w:pPr>
            <w:r>
              <w:rPr>
                <w:rFonts w:ascii="Arial" w:cs="Arial" w:eastAsia="Arial" w:hAnsi="Arial"/>
                <w:sz w:val="12"/>
                <w:szCs w:val="12"/>
                <w:color w:val="auto"/>
              </w:rPr>
              <w:t>Reclassification of (gains) losses on derivatives to earnings, net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(22,383)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14,073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(28,674)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Pension liability adjustment</w:t>
            </w: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Other comprehensive income (loss)</w:t>
            </w:r>
          </w:p>
        </w:tc>
        <w:tc>
          <w:tcPr>
            <w:tcW w:w="8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(1,937)</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2,572</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34,496</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(6,131)</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Comprehensive loss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(69,372)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(12,899)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(15,401)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Comprehensive income (loss) attributable to noncontrolling interest</w:t>
            </w: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Comprehensive loss attributable to Ferrellgas Partners, L.P.</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(69,352)</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(12,925)</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(15,749)</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(18,676)</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 w:name="page6"/>
    <w:bookmarkEnd w:id="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 OF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90"/>
        </w:trPr>
        <w:tc>
          <w:tcPr>
            <w:tcW w:w="1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Number of units</w:t>
            </w: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5"/>
          </w:tcPr>
          <w:p>
            <w:pPr>
              <w:jc w:val="center"/>
              <w:ind w:right="100"/>
              <w:spacing w:after="0"/>
              <w:rPr>
                <w:sz w:val="20"/>
                <w:szCs w:val="20"/>
                <w:color w:val="auto"/>
              </w:rPr>
            </w:pPr>
            <w:r>
              <w:rPr>
                <w:rFonts w:ascii="Arial" w:cs="Arial" w:eastAsia="Arial" w:hAnsi="Arial"/>
                <w:sz w:val="7"/>
                <w:szCs w:val="7"/>
                <w:b w:val="1"/>
                <w:bCs w:val="1"/>
                <w:color w:val="auto"/>
                <w:w w:val="95"/>
              </w:rPr>
              <w:t>Accumulated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7"/>
                <w:szCs w:val="7"/>
                <w:b w:val="1"/>
                <w:bCs w:val="1"/>
                <w:color w:val="auto"/>
                <w:w w:val="91"/>
              </w:rPr>
              <w:t>Total Ferrellgas</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1"/>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2"/>
          </w:tcPr>
          <w:p>
            <w:pPr>
              <w:jc w:val="center"/>
              <w:spacing w:after="0" w:line="61" w:lineRule="exact"/>
              <w:rPr>
                <w:sz w:val="20"/>
                <w:szCs w:val="20"/>
                <w:color w:val="auto"/>
              </w:rPr>
            </w:pPr>
            <w:r>
              <w:rPr>
                <w:rFonts w:ascii="Arial" w:cs="Arial" w:eastAsia="Arial" w:hAnsi="Arial"/>
                <w:sz w:val="7"/>
                <w:szCs w:val="7"/>
                <w:b w:val="1"/>
                <w:bCs w:val="1"/>
                <w:color w:val="auto"/>
                <w:w w:val="99"/>
              </w:rPr>
              <w:t>General</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w w:val="99"/>
              </w:rPr>
              <w:t>General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tcPr>
          <w:p>
            <w:pPr>
              <w:jc w:val="center"/>
              <w:ind w:left="100"/>
              <w:spacing w:after="0" w:line="61" w:lineRule="exact"/>
              <w:rPr>
                <w:sz w:val="20"/>
                <w:szCs w:val="20"/>
                <w:color w:val="auto"/>
              </w:rPr>
            </w:pPr>
            <w:r>
              <w:rPr>
                <w:rFonts w:ascii="Arial" w:cs="Arial" w:eastAsia="Arial" w:hAnsi="Arial"/>
                <w:sz w:val="7"/>
                <w:szCs w:val="7"/>
                <w:b w:val="1"/>
                <w:bCs w:val="1"/>
                <w:color w:val="auto"/>
                <w:w w:val="91"/>
              </w:rPr>
              <w:t>other</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4"/>
          </w:tcPr>
          <w:p>
            <w:pPr>
              <w:jc w:val="center"/>
              <w:ind w:right="200"/>
              <w:spacing w:after="0" w:line="61" w:lineRule="exact"/>
              <w:rPr>
                <w:sz w:val="20"/>
                <w:szCs w:val="20"/>
                <w:color w:val="auto"/>
              </w:rPr>
            </w:pPr>
            <w:r>
              <w:rPr>
                <w:rFonts w:ascii="Arial" w:cs="Arial" w:eastAsia="Arial" w:hAnsi="Arial"/>
                <w:sz w:val="7"/>
                <w:szCs w:val="7"/>
                <w:b w:val="1"/>
                <w:bCs w:val="1"/>
                <w:color w:val="auto"/>
                <w:w w:val="96"/>
              </w:rPr>
              <w:t>Partner, L.P.</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81"/>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tcPr>
          <w:p>
            <w:pPr>
              <w:jc w:val="right"/>
              <w:ind w:right="101"/>
              <w:spacing w:after="0"/>
              <w:rPr>
                <w:sz w:val="20"/>
                <w:szCs w:val="20"/>
                <w:color w:val="auto"/>
              </w:rPr>
            </w:pPr>
            <w:r>
              <w:rPr>
                <w:rFonts w:ascii="Arial" w:cs="Arial" w:eastAsia="Arial" w:hAnsi="Arial"/>
                <w:sz w:val="7"/>
                <w:szCs w:val="7"/>
                <w:b w:val="1"/>
                <w:bCs w:val="1"/>
                <w:color w:val="auto"/>
              </w:rPr>
              <w:t>Class A</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center"/>
              <w:spacing w:after="0"/>
              <w:rPr>
                <w:sz w:val="20"/>
                <w:szCs w:val="20"/>
                <w:color w:val="auto"/>
              </w:rPr>
            </w:pPr>
            <w:r>
              <w:rPr>
                <w:rFonts w:ascii="Arial" w:cs="Arial" w:eastAsia="Arial" w:hAnsi="Arial"/>
                <w:sz w:val="7"/>
                <w:szCs w:val="7"/>
                <w:b w:val="1"/>
                <w:bCs w:val="1"/>
                <w:color w:val="auto"/>
                <w:w w:val="93"/>
              </w:rPr>
              <w:t>Class B</w:t>
            </w:r>
          </w:p>
        </w:tc>
        <w:tc>
          <w:tcPr>
            <w:tcW w:w="100" w:type="dxa"/>
            <w:vAlign w:val="bottom"/>
          </w:tcPr>
          <w:p>
            <w:pPr>
              <w:spacing w:after="0"/>
              <w:rPr>
                <w:sz w:val="7"/>
                <w:szCs w:val="7"/>
                <w:color w:val="auto"/>
              </w:rPr>
            </w:pPr>
          </w:p>
        </w:tc>
        <w:tc>
          <w:tcPr>
            <w:tcW w:w="500" w:type="dxa"/>
            <w:vAlign w:val="bottom"/>
            <w:gridSpan w:val="2"/>
          </w:tcPr>
          <w:p>
            <w:pPr>
              <w:jc w:val="center"/>
              <w:spacing w:after="0"/>
              <w:rPr>
                <w:sz w:val="20"/>
                <w:szCs w:val="20"/>
                <w:color w:val="auto"/>
              </w:rPr>
            </w:pPr>
            <w:r>
              <w:rPr>
                <w:rFonts w:ascii="Arial" w:cs="Arial" w:eastAsia="Arial" w:hAnsi="Arial"/>
                <w:sz w:val="7"/>
                <w:szCs w:val="7"/>
                <w:b w:val="1"/>
                <w:bCs w:val="1"/>
                <w:color w:val="auto"/>
                <w:w w:val="91"/>
              </w:rPr>
              <w:t>partner</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7"/>
                <w:szCs w:val="7"/>
                <w:b w:val="1"/>
                <w:bCs w:val="1"/>
                <w:color w:val="auto"/>
                <w:w w:val="93"/>
              </w:rPr>
              <w:t>Class A</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7"/>
                <w:szCs w:val="7"/>
                <w:b w:val="1"/>
                <w:bCs w:val="1"/>
                <w:color w:val="auto"/>
              </w:rPr>
              <w:t>Class B</w:t>
            </w:r>
          </w:p>
        </w:tc>
        <w:tc>
          <w:tcPr>
            <w:tcW w:w="80" w:type="dxa"/>
            <w:vAlign w:val="bottom"/>
          </w:tcPr>
          <w:p>
            <w:pPr>
              <w:spacing w:after="0"/>
              <w:rPr>
                <w:sz w:val="7"/>
                <w:szCs w:val="7"/>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w w:val="99"/>
              </w:rPr>
              <w:t>partner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5"/>
          </w:tcPr>
          <w:p>
            <w:pPr>
              <w:jc w:val="center"/>
              <w:ind w:right="100"/>
              <w:spacing w:after="0"/>
              <w:rPr>
                <w:sz w:val="20"/>
                <w:szCs w:val="20"/>
                <w:color w:val="auto"/>
              </w:rPr>
            </w:pPr>
            <w:r>
              <w:rPr>
                <w:rFonts w:ascii="Arial" w:cs="Arial" w:eastAsia="Arial" w:hAnsi="Arial"/>
                <w:sz w:val="7"/>
                <w:szCs w:val="7"/>
                <w:b w:val="1"/>
                <w:bCs w:val="1"/>
                <w:color w:val="auto"/>
                <w:w w:val="89"/>
              </w:rPr>
              <w:t>comprehensive</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7"/>
                <w:szCs w:val="7"/>
                <w:b w:val="1"/>
                <w:bCs w:val="1"/>
                <w:color w:val="auto"/>
                <w:w w:val="94"/>
              </w:rPr>
              <w:t>partners'</w:t>
            </w:r>
          </w:p>
        </w:tc>
        <w:tc>
          <w:tcPr>
            <w:tcW w:w="80" w:type="dxa"/>
            <w:vAlign w:val="bottom"/>
          </w:tcPr>
          <w:p>
            <w:pPr>
              <w:spacing w:after="0"/>
              <w:rPr>
                <w:sz w:val="7"/>
                <w:szCs w:val="7"/>
                <w:color w:val="auto"/>
              </w:rPr>
            </w:pPr>
          </w:p>
        </w:tc>
        <w:tc>
          <w:tcPr>
            <w:tcW w:w="780" w:type="dxa"/>
            <w:vAlign w:val="bottom"/>
            <w:gridSpan w:val="4"/>
          </w:tcPr>
          <w:p>
            <w:pPr>
              <w:ind w:left="60"/>
              <w:spacing w:after="0"/>
              <w:rPr>
                <w:sz w:val="20"/>
                <w:szCs w:val="20"/>
                <w:color w:val="auto"/>
              </w:rPr>
            </w:pPr>
            <w:r>
              <w:rPr>
                <w:rFonts w:ascii="Arial" w:cs="Arial" w:eastAsia="Arial" w:hAnsi="Arial"/>
                <w:sz w:val="7"/>
                <w:szCs w:val="7"/>
                <w:b w:val="1"/>
                <w:bCs w:val="1"/>
                <w:color w:val="auto"/>
              </w:rPr>
              <w:t>Non-controlling</w:t>
            </w:r>
          </w:p>
        </w:tc>
        <w:tc>
          <w:tcPr>
            <w:tcW w:w="80" w:type="dxa"/>
            <w:vAlign w:val="bottom"/>
          </w:tcPr>
          <w:p>
            <w:pPr>
              <w:spacing w:after="0"/>
              <w:rPr>
                <w:sz w:val="7"/>
                <w:szCs w:val="7"/>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5"/>
              </w:rPr>
              <w:t>Total partners'</w:t>
            </w:r>
          </w:p>
        </w:tc>
      </w:tr>
      <w:tr>
        <w:trPr>
          <w:trHeight w:val="90"/>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7"/>
                <w:szCs w:val="7"/>
                <w:b w:val="1"/>
                <w:bCs w:val="1"/>
                <w:color w:val="auto"/>
                <w:w w:val="89"/>
              </w:rPr>
              <w:t>unitholders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center"/>
              <w:spacing w:after="0"/>
              <w:rPr>
                <w:sz w:val="20"/>
                <w:szCs w:val="20"/>
                <w:color w:val="auto"/>
              </w:rPr>
            </w:pPr>
            <w:r>
              <w:rPr>
                <w:rFonts w:ascii="Arial" w:cs="Arial" w:eastAsia="Arial" w:hAnsi="Arial"/>
                <w:sz w:val="7"/>
                <w:szCs w:val="7"/>
                <w:b w:val="1"/>
                <w:bCs w:val="1"/>
                <w:color w:val="auto"/>
                <w:w w:val="94"/>
              </w:rPr>
              <w:t>unitholders</w:t>
            </w:r>
          </w:p>
        </w:tc>
        <w:tc>
          <w:tcPr>
            <w:tcW w:w="100" w:type="dxa"/>
            <w:vAlign w:val="bottom"/>
          </w:tcPr>
          <w:p>
            <w:pPr>
              <w:spacing w:after="0"/>
              <w:rPr>
                <w:sz w:val="7"/>
                <w:szCs w:val="7"/>
                <w:color w:val="auto"/>
              </w:rPr>
            </w:pPr>
          </w:p>
        </w:tc>
        <w:tc>
          <w:tcPr>
            <w:tcW w:w="500" w:type="dxa"/>
            <w:vAlign w:val="bottom"/>
            <w:gridSpan w:val="2"/>
          </w:tcPr>
          <w:p>
            <w:pPr>
              <w:jc w:val="center"/>
              <w:spacing w:after="0"/>
              <w:rPr>
                <w:sz w:val="20"/>
                <w:szCs w:val="20"/>
                <w:color w:val="auto"/>
              </w:rPr>
            </w:pPr>
            <w:r>
              <w:rPr>
                <w:rFonts w:ascii="Arial" w:cs="Arial" w:eastAsia="Arial" w:hAnsi="Arial"/>
                <w:sz w:val="7"/>
                <w:szCs w:val="7"/>
                <w:b w:val="1"/>
                <w:bCs w:val="1"/>
                <w:color w:val="auto"/>
                <w:w w:val="99"/>
              </w:rPr>
              <w:t>unitholder</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7"/>
                <w:szCs w:val="7"/>
                <w:b w:val="1"/>
                <w:bCs w:val="1"/>
                <w:color w:val="auto"/>
                <w:w w:val="94"/>
              </w:rPr>
              <w:t>unitholders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7"/>
                <w:szCs w:val="7"/>
                <w:b w:val="1"/>
                <w:bCs w:val="1"/>
                <w:color w:val="auto"/>
                <w:w w:val="89"/>
              </w:rPr>
              <w:t>unitholders</w:t>
            </w:r>
          </w:p>
        </w:tc>
        <w:tc>
          <w:tcPr>
            <w:tcW w:w="80" w:type="dxa"/>
            <w:vAlign w:val="bottom"/>
          </w:tcPr>
          <w:p>
            <w:pPr>
              <w:spacing w:after="0"/>
              <w:rPr>
                <w:sz w:val="7"/>
                <w:szCs w:val="7"/>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w w:val="93"/>
              </w:rPr>
              <w:t>unitholder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5"/>
          </w:tcPr>
          <w:p>
            <w:pPr>
              <w:jc w:val="center"/>
              <w:ind w:right="120"/>
              <w:spacing w:after="0"/>
              <w:rPr>
                <w:sz w:val="20"/>
                <w:szCs w:val="20"/>
                <w:color w:val="auto"/>
              </w:rPr>
            </w:pPr>
            <w:r>
              <w:rPr>
                <w:rFonts w:ascii="Arial" w:cs="Arial" w:eastAsia="Arial" w:hAnsi="Arial"/>
                <w:sz w:val="7"/>
                <w:szCs w:val="7"/>
                <w:b w:val="1"/>
                <w:bCs w:val="1"/>
                <w:color w:val="auto"/>
                <w:w w:val="88"/>
              </w:rPr>
              <w:t>income (loss)</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7"/>
                <w:szCs w:val="7"/>
                <w:b w:val="1"/>
                <w:bCs w:val="1"/>
                <w:color w:val="auto"/>
                <w:w w:val="96"/>
              </w:rPr>
              <w:t>equity</w:t>
            </w:r>
          </w:p>
        </w:tc>
        <w:tc>
          <w:tcPr>
            <w:tcW w:w="80" w:type="dxa"/>
            <w:vAlign w:val="bottom"/>
          </w:tcPr>
          <w:p>
            <w:pPr>
              <w:spacing w:after="0"/>
              <w:rPr>
                <w:sz w:val="7"/>
                <w:szCs w:val="7"/>
                <w:color w:val="auto"/>
              </w:rPr>
            </w:pPr>
          </w:p>
        </w:tc>
        <w:tc>
          <w:tcPr>
            <w:tcW w:w="500" w:type="dxa"/>
            <w:vAlign w:val="bottom"/>
          </w:tcPr>
          <w:p>
            <w:pPr>
              <w:jc w:val="right"/>
              <w:ind w:right="39"/>
              <w:spacing w:after="0"/>
              <w:rPr>
                <w:sz w:val="20"/>
                <w:szCs w:val="20"/>
                <w:color w:val="auto"/>
              </w:rPr>
            </w:pPr>
            <w:r>
              <w:rPr>
                <w:rFonts w:ascii="Arial" w:cs="Arial" w:eastAsia="Arial" w:hAnsi="Arial"/>
                <w:sz w:val="7"/>
                <w:szCs w:val="7"/>
                <w:b w:val="1"/>
                <w:bCs w:val="1"/>
                <w:color w:val="auto"/>
              </w:rPr>
              <w:t>interest</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equity</w:t>
            </w:r>
          </w:p>
        </w:tc>
      </w:tr>
      <w:tr>
        <w:trPr>
          <w:trHeight w:val="79"/>
        </w:trPr>
        <w:tc>
          <w:tcPr>
            <w:tcW w:w="17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 at July 31, 2020</w:t>
            </w:r>
          </w:p>
        </w:tc>
        <w:tc>
          <w:tcPr>
            <w:tcW w:w="8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4,857.6</w:t>
            </w: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jc w:val="right"/>
              <w:ind w:right="40"/>
              <w:spacing w:after="0" w:line="79" w:lineRule="exact"/>
              <w:rPr>
                <w:sz w:val="20"/>
                <w:szCs w:val="20"/>
                <w:color w:val="auto"/>
              </w:rPr>
            </w:pPr>
            <w:r>
              <w:rPr>
                <w:rFonts w:ascii="Arial" w:cs="Arial" w:eastAsia="Arial" w:hAnsi="Arial"/>
                <w:sz w:val="8"/>
                <w:szCs w:val="8"/>
                <w:color w:val="auto"/>
                <w:w w:val="99"/>
              </w:rPr>
              <w:t>—</w:t>
            </w: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gridSpan w:val="2"/>
            <w:shd w:val="clear" w:color="auto" w:fill="CCEEFF"/>
          </w:tcPr>
          <w:p>
            <w:pPr>
              <w:jc w:val="right"/>
              <w:ind w:right="20"/>
              <w:spacing w:after="0" w:line="79" w:lineRule="exact"/>
              <w:rPr>
                <w:sz w:val="20"/>
                <w:szCs w:val="20"/>
                <w:color w:val="auto"/>
              </w:rPr>
            </w:pPr>
            <w:r>
              <w:rPr>
                <w:rFonts w:ascii="Arial" w:cs="Arial" w:eastAsia="Arial" w:hAnsi="Arial"/>
                <w:sz w:val="8"/>
                <w:szCs w:val="8"/>
                <w:color w:val="auto"/>
              </w:rPr>
              <w:t>49.5</w:t>
            </w: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(1,126,452)</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(71,287)</w:t>
            </w: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6"/>
              </w:rPr>
              <w:t>(2,303)</w:t>
            </w: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w:t>
            </w:r>
          </w:p>
        </w:tc>
        <w:tc>
          <w:tcPr>
            <w:tcW w:w="820" w:type="dxa"/>
            <w:vAlign w:val="bottom"/>
            <w:tcBorders>
              <w:top w:val="single" w:sz="8" w:color="CCEEFF"/>
            </w:tcBorders>
            <w:gridSpan w:val="5"/>
            <w:shd w:val="clear" w:color="auto" w:fill="CCEEFF"/>
          </w:tcPr>
          <w:p>
            <w:pPr>
              <w:jc w:val="right"/>
              <w:ind w:right="120"/>
              <w:spacing w:after="0" w:line="79" w:lineRule="exact"/>
              <w:rPr>
                <w:sz w:val="20"/>
                <w:szCs w:val="20"/>
                <w:color w:val="auto"/>
              </w:rPr>
            </w:pPr>
            <w:r>
              <w:rPr>
                <w:rFonts w:ascii="Arial" w:cs="Arial" w:eastAsia="Arial" w:hAnsi="Arial"/>
                <w:sz w:val="8"/>
                <w:szCs w:val="8"/>
                <w:color w:val="auto"/>
              </w:rPr>
              <w:t>(1,200,042)</w:t>
            </w:r>
          </w:p>
        </w:tc>
        <w:tc>
          <w:tcPr>
            <w:tcW w:w="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Arial" w:cs="Arial" w:eastAsia="Arial" w:hAnsi="Arial"/>
                <w:sz w:val="8"/>
                <w:szCs w:val="8"/>
                <w:color w:val="auto"/>
              </w:rPr>
              <w:t>(8,226)</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(1,208,268)</w:t>
            </w:r>
          </w:p>
        </w:tc>
        <w:tc>
          <w:tcPr>
            <w:tcW w:w="20" w:type="dxa"/>
            <w:vAlign w:val="bottom"/>
          </w:tcPr>
          <w:p>
            <w:pPr>
              <w:spacing w:after="0"/>
              <w:rPr>
                <w:sz w:val="6"/>
                <w:szCs w:val="6"/>
                <w:color w:val="auto"/>
              </w:rPr>
            </w:pPr>
          </w:p>
        </w:tc>
      </w:tr>
      <w:tr>
        <w:trPr>
          <w:trHeight w:val="90"/>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7"/>
        </w:trPr>
        <w:tc>
          <w:tcPr>
            <w:tcW w:w="1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3"/>
        </w:trPr>
        <w:tc>
          <w:tcPr>
            <w:tcW w:w="18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compensation charges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694</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7</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701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8"/>
                <w:szCs w:val="8"/>
                <w:color w:val="auto"/>
              </w:rPr>
              <w:t>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708</w:t>
            </w:r>
          </w:p>
        </w:tc>
        <w:tc>
          <w:tcPr>
            <w:tcW w:w="20" w:type="dxa"/>
            <w:vAlign w:val="bottom"/>
          </w:tcPr>
          <w:p>
            <w:pPr>
              <w:spacing w:after="0"/>
              <w:rPr>
                <w:sz w:val="8"/>
                <w:szCs w:val="8"/>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Net loss</w:t>
            </w:r>
          </w:p>
        </w:tc>
        <w:tc>
          <w:tcPr>
            <w:tcW w:w="34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50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(45,601)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(461)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w w:val="93"/>
              </w:rPr>
              <w:t>(46,062)</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w w:val="85"/>
              </w:rPr>
              <w:t>(391)</w:t>
            </w: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(46,453)</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comprehensive income</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9"/>
              </w:rPr>
              <w:t>7,837</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7,837</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14"/>
              <w:spacing w:after="0" w:line="90" w:lineRule="exact"/>
              <w:rPr>
                <w:sz w:val="20"/>
                <w:szCs w:val="20"/>
                <w:color w:val="auto"/>
              </w:rPr>
            </w:pPr>
            <w:r>
              <w:rPr>
                <w:rFonts w:ascii="Arial" w:cs="Arial" w:eastAsia="Arial" w:hAnsi="Arial"/>
                <w:sz w:val="8"/>
                <w:szCs w:val="8"/>
                <w:color w:val="auto"/>
              </w:rPr>
              <w:t>80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7,917</w:t>
            </w:r>
          </w:p>
        </w:tc>
        <w:tc>
          <w:tcPr>
            <w:tcW w:w="20" w:type="dxa"/>
            <w:vAlign w:val="bottom"/>
          </w:tcPr>
          <w:p>
            <w:pPr>
              <w:spacing w:after="0"/>
              <w:rPr>
                <w:sz w:val="7"/>
                <w:szCs w:val="7"/>
                <w:color w:val="auto"/>
              </w:rPr>
            </w:pPr>
          </w:p>
        </w:tc>
      </w:tr>
      <w:tr>
        <w:trPr>
          <w:trHeight w:val="79"/>
        </w:trPr>
        <w:tc>
          <w:tcPr>
            <w:tcW w:w="1720" w:type="dxa"/>
            <w:vAlign w:val="bottom"/>
          </w:tcPr>
          <w:p>
            <w:pPr>
              <w:spacing w:after="0" w:line="79" w:lineRule="exact"/>
              <w:rPr>
                <w:sz w:val="20"/>
                <w:szCs w:val="20"/>
                <w:color w:val="auto"/>
              </w:rPr>
            </w:pPr>
            <w:r>
              <w:rPr>
                <w:rFonts w:ascii="Arial" w:cs="Arial" w:eastAsia="Arial" w:hAnsi="Arial"/>
                <w:sz w:val="8"/>
                <w:szCs w:val="8"/>
                <w:b w:val="1"/>
                <w:bCs w:val="1"/>
                <w:color w:val="auto"/>
              </w:rPr>
              <w:t>Balance at October 31, 2020</w:t>
            </w: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4,857.6</w:t>
            </w: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gridSpan w:val="2"/>
          </w:tcPr>
          <w:p>
            <w:pPr>
              <w:jc w:val="right"/>
              <w:ind w:right="40"/>
              <w:spacing w:after="0" w:line="79"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6"/>
                <w:szCs w:val="6"/>
                <w:color w:val="auto"/>
              </w:rPr>
            </w:pPr>
          </w:p>
        </w:tc>
        <w:tc>
          <w:tcPr>
            <w:tcW w:w="500" w:type="dxa"/>
            <w:vAlign w:val="bottom"/>
            <w:tcBorders>
              <w:top w:val="single" w:sz="8" w:color="auto"/>
            </w:tcBorders>
            <w:gridSpan w:val="2"/>
          </w:tcPr>
          <w:p>
            <w:pPr>
              <w:jc w:val="right"/>
              <w:ind w:right="20"/>
              <w:spacing w:after="0" w:line="79" w:lineRule="exact"/>
              <w:rPr>
                <w:sz w:val="20"/>
                <w:szCs w:val="20"/>
                <w:color w:val="auto"/>
              </w:rPr>
            </w:pPr>
            <w:r>
              <w:rPr>
                <w:rFonts w:ascii="Arial" w:cs="Arial" w:eastAsia="Arial" w:hAnsi="Arial"/>
                <w:sz w:val="8"/>
                <w:szCs w:val="8"/>
                <w:color w:val="auto"/>
              </w:rPr>
              <w:t>49.5</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(1,171,359)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(71,741)</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w w:val="99"/>
              </w:rPr>
              <w:t>5,534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Borders>
              <w:top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(1,237,566)</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top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(8,530)</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(1,246,096)</w:t>
            </w:r>
          </w:p>
        </w:tc>
        <w:tc>
          <w:tcPr>
            <w:tcW w:w="20" w:type="dxa"/>
            <w:vAlign w:val="bottom"/>
          </w:tcPr>
          <w:p>
            <w:pPr>
              <w:spacing w:after="0"/>
              <w:rPr>
                <w:sz w:val="6"/>
                <w:szCs w:val="6"/>
                <w:color w:val="auto"/>
              </w:rPr>
            </w:pPr>
          </w:p>
        </w:tc>
      </w:tr>
      <w:tr>
        <w:trPr>
          <w:trHeight w:val="87"/>
        </w:trPr>
        <w:tc>
          <w:tcPr>
            <w:tcW w:w="1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3"/>
        </w:trPr>
        <w:tc>
          <w:tcPr>
            <w:tcW w:w="18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compensation charges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746</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754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762</w:t>
            </w:r>
          </w:p>
        </w:tc>
        <w:tc>
          <w:tcPr>
            <w:tcW w:w="20" w:type="dxa"/>
            <w:vAlign w:val="bottom"/>
          </w:tcPr>
          <w:p>
            <w:pPr>
              <w:spacing w:after="0"/>
              <w:rPr>
                <w:sz w:val="8"/>
                <w:szCs w:val="8"/>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Net earnings</w:t>
            </w:r>
          </w:p>
        </w:tc>
        <w:tc>
          <w:tcPr>
            <w:tcW w:w="34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50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62,634</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Arial" w:cs="Arial" w:eastAsia="Arial" w:hAnsi="Arial"/>
                <w:sz w:val="8"/>
                <w:szCs w:val="8"/>
                <w:color w:val="auto"/>
              </w:rPr>
              <w:t>633</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gridSpan w:val="2"/>
          </w:tcPr>
          <w:p>
            <w:pPr>
              <w:jc w:val="right"/>
              <w:spacing w:after="0" w:line="90" w:lineRule="exact"/>
              <w:rPr>
                <w:sz w:val="20"/>
                <w:szCs w:val="20"/>
                <w:color w:val="auto"/>
              </w:rPr>
            </w:pPr>
            <w:r>
              <w:rPr>
                <w:rFonts w:ascii="Arial" w:cs="Arial" w:eastAsia="Arial" w:hAnsi="Arial"/>
                <w:sz w:val="8"/>
                <w:szCs w:val="8"/>
                <w:color w:val="auto"/>
              </w:rPr>
              <w:t>63,267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gridSpan w:val="2"/>
          </w:tcPr>
          <w:p>
            <w:pPr>
              <w:jc w:val="right"/>
              <w:ind w:right="14"/>
              <w:spacing w:after="0" w:line="90" w:lineRule="exact"/>
              <w:rPr>
                <w:sz w:val="20"/>
                <w:szCs w:val="20"/>
                <w:color w:val="auto"/>
              </w:rPr>
            </w:pPr>
            <w:r>
              <w:rPr>
                <w:rFonts w:ascii="Arial" w:cs="Arial" w:eastAsia="Arial" w:hAnsi="Arial"/>
                <w:sz w:val="8"/>
                <w:szCs w:val="8"/>
                <w:color w:val="auto"/>
                <w:w w:val="89"/>
              </w:rPr>
              <w:t>724</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63,991</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comprehensive income</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81"/>
              </w:rPr>
              <w:t>28,228</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28,228</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14"/>
              <w:spacing w:after="0" w:line="90" w:lineRule="exact"/>
              <w:rPr>
                <w:sz w:val="20"/>
                <w:szCs w:val="20"/>
                <w:color w:val="auto"/>
              </w:rPr>
            </w:pPr>
            <w:r>
              <w:rPr>
                <w:rFonts w:ascii="Arial" w:cs="Arial" w:eastAsia="Arial" w:hAnsi="Arial"/>
                <w:sz w:val="8"/>
                <w:szCs w:val="8"/>
                <w:color w:val="auto"/>
                <w:w w:val="89"/>
              </w:rPr>
              <w:t>288</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28,516</w:t>
            </w:r>
          </w:p>
        </w:tc>
        <w:tc>
          <w:tcPr>
            <w:tcW w:w="20" w:type="dxa"/>
            <w:vAlign w:val="bottom"/>
          </w:tcPr>
          <w:p>
            <w:pPr>
              <w:spacing w:after="0"/>
              <w:rPr>
                <w:sz w:val="7"/>
                <w:szCs w:val="7"/>
                <w:color w:val="auto"/>
              </w:rPr>
            </w:pPr>
          </w:p>
        </w:tc>
      </w:tr>
      <w:tr>
        <w:trPr>
          <w:trHeight w:val="79"/>
        </w:trPr>
        <w:tc>
          <w:tcPr>
            <w:tcW w:w="1720" w:type="dxa"/>
            <w:vAlign w:val="bottom"/>
          </w:tcPr>
          <w:p>
            <w:pPr>
              <w:spacing w:after="0" w:line="79" w:lineRule="exact"/>
              <w:rPr>
                <w:sz w:val="20"/>
                <w:szCs w:val="20"/>
                <w:color w:val="auto"/>
              </w:rPr>
            </w:pPr>
            <w:r>
              <w:rPr>
                <w:rFonts w:ascii="Arial" w:cs="Arial" w:eastAsia="Arial" w:hAnsi="Arial"/>
                <w:sz w:val="8"/>
                <w:szCs w:val="8"/>
                <w:b w:val="1"/>
                <w:bCs w:val="1"/>
                <w:color w:val="auto"/>
              </w:rPr>
              <w:t>Balance at January 31, 2021</w:t>
            </w: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4,857.6</w:t>
            </w: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gridSpan w:val="2"/>
          </w:tcPr>
          <w:p>
            <w:pPr>
              <w:jc w:val="right"/>
              <w:ind w:right="40"/>
              <w:spacing w:after="0" w:line="79"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6"/>
                <w:szCs w:val="6"/>
                <w:color w:val="auto"/>
              </w:rPr>
            </w:pPr>
          </w:p>
        </w:tc>
        <w:tc>
          <w:tcPr>
            <w:tcW w:w="500" w:type="dxa"/>
            <w:vAlign w:val="bottom"/>
            <w:tcBorders>
              <w:top w:val="single" w:sz="8" w:color="auto"/>
            </w:tcBorders>
            <w:gridSpan w:val="2"/>
          </w:tcPr>
          <w:p>
            <w:pPr>
              <w:jc w:val="right"/>
              <w:ind w:right="20"/>
              <w:spacing w:after="0" w:line="79" w:lineRule="exact"/>
              <w:rPr>
                <w:sz w:val="20"/>
                <w:szCs w:val="20"/>
                <w:color w:val="auto"/>
              </w:rPr>
            </w:pPr>
            <w:r>
              <w:rPr>
                <w:rFonts w:ascii="Arial" w:cs="Arial" w:eastAsia="Arial" w:hAnsi="Arial"/>
                <w:sz w:val="8"/>
                <w:szCs w:val="8"/>
                <w:color w:val="auto"/>
              </w:rPr>
              <w:t>49.5</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(1,107,979)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(71,100)</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w w:val="81"/>
              </w:rPr>
              <w:t>33,762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4"/>
          </w:tcPr>
          <w:p>
            <w:pPr>
              <w:jc w:val="right"/>
              <w:spacing w:after="0" w:line="79" w:lineRule="exact"/>
              <w:rPr>
                <w:sz w:val="20"/>
                <w:szCs w:val="20"/>
                <w:color w:val="auto"/>
              </w:rPr>
            </w:pPr>
            <w:r>
              <w:rPr>
                <w:rFonts w:ascii="Arial" w:cs="Arial" w:eastAsia="Arial" w:hAnsi="Arial"/>
                <w:sz w:val="8"/>
                <w:szCs w:val="8"/>
                <w:color w:val="auto"/>
              </w:rPr>
              <w:t>(1,145,317)</w:t>
            </w: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(7,510)</w:t>
            </w: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(1,152,827)</w:t>
            </w:r>
          </w:p>
        </w:tc>
        <w:tc>
          <w:tcPr>
            <w:tcW w:w="20" w:type="dxa"/>
            <w:vAlign w:val="bottom"/>
          </w:tcPr>
          <w:p>
            <w:pPr>
              <w:spacing w:after="0"/>
              <w:rPr>
                <w:sz w:val="6"/>
                <w:szCs w:val="6"/>
                <w:color w:val="auto"/>
              </w:rPr>
            </w:pPr>
          </w:p>
        </w:tc>
      </w:tr>
      <w:tr>
        <w:trPr>
          <w:trHeight w:val="87"/>
        </w:trPr>
        <w:tc>
          <w:tcPr>
            <w:tcW w:w="1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3"/>
        </w:trPr>
        <w:tc>
          <w:tcPr>
            <w:tcW w:w="18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compensation charges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795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803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811</w:t>
            </w:r>
          </w:p>
        </w:tc>
        <w:tc>
          <w:tcPr>
            <w:tcW w:w="20" w:type="dxa"/>
            <w:vAlign w:val="bottom"/>
          </w:tcPr>
          <w:p>
            <w:pPr>
              <w:spacing w:after="0"/>
              <w:rPr>
                <w:sz w:val="8"/>
                <w:szCs w:val="8"/>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Issuance of Class B units</w:t>
            </w:r>
          </w:p>
        </w:tc>
        <w:tc>
          <w:tcPr>
            <w:tcW w:w="34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w w:val="99"/>
              </w:rPr>
              <w:t>—</w:t>
            </w:r>
          </w:p>
        </w:tc>
        <w:tc>
          <w:tcPr>
            <w:tcW w:w="660" w:type="dxa"/>
            <w:vAlign w:val="bottom"/>
            <w:gridSpan w:val="4"/>
          </w:tcPr>
          <w:p>
            <w:pPr>
              <w:jc w:val="right"/>
              <w:spacing w:after="0" w:line="90" w:lineRule="exact"/>
              <w:rPr>
                <w:sz w:val="20"/>
                <w:szCs w:val="20"/>
                <w:color w:val="auto"/>
              </w:rPr>
            </w:pPr>
            <w:r>
              <w:rPr>
                <w:rFonts w:ascii="Arial" w:cs="Arial" w:eastAsia="Arial" w:hAnsi="Arial"/>
                <w:sz w:val="8"/>
                <w:szCs w:val="8"/>
                <w:color w:val="auto"/>
              </w:rPr>
              <w:t>1,300.0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right"/>
              <w:ind w:right="140"/>
              <w:spacing w:after="0" w:line="90"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jc w:val="right"/>
              <w:spacing w:after="0" w:line="90" w:lineRule="exact"/>
              <w:rPr>
                <w:sz w:val="20"/>
                <w:szCs w:val="20"/>
                <w:color w:val="auto"/>
              </w:rPr>
            </w:pPr>
            <w:r>
              <w:rPr>
                <w:rFonts w:ascii="Arial" w:cs="Arial" w:eastAsia="Arial" w:hAnsi="Arial"/>
                <w:sz w:val="8"/>
                <w:szCs w:val="8"/>
                <w:color w:val="auto"/>
              </w:rPr>
              <w:t>388,147</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gridSpan w:val="2"/>
          </w:tcPr>
          <w:p>
            <w:pPr>
              <w:jc w:val="right"/>
              <w:spacing w:after="0" w:line="90" w:lineRule="exact"/>
              <w:rPr>
                <w:sz w:val="20"/>
                <w:szCs w:val="20"/>
                <w:color w:val="auto"/>
              </w:rPr>
            </w:pPr>
            <w:r>
              <w:rPr>
                <w:rFonts w:ascii="Arial" w:cs="Arial" w:eastAsia="Arial" w:hAnsi="Arial"/>
                <w:sz w:val="8"/>
                <w:szCs w:val="8"/>
                <w:color w:val="auto"/>
                <w:w w:val="89"/>
              </w:rPr>
              <w:t>388,147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gridSpan w:val="3"/>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388,147</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Net earnings allocated to preferred units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(8,011)</w:t>
            </w: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2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(8,011)</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8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(8,011)</w:t>
            </w:r>
          </w:p>
        </w:tc>
        <w:tc>
          <w:tcPr>
            <w:tcW w:w="20" w:type="dxa"/>
            <w:vAlign w:val="bottom"/>
          </w:tcPr>
          <w:p>
            <w:pPr>
              <w:spacing w:after="0"/>
              <w:rPr>
                <w:sz w:val="7"/>
                <w:szCs w:val="7"/>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Net loss</w:t>
            </w:r>
          </w:p>
        </w:tc>
        <w:tc>
          <w:tcPr>
            <w:tcW w:w="34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50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(66,046)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(748)</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w w:val="93"/>
              </w:rPr>
              <w:t>(66,794)</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w w:val="85"/>
              </w:rPr>
              <w:t>(641)</w:t>
            </w: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(67,435)</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comprehensive loss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w w:val="99"/>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14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8"/>
                <w:szCs w:val="8"/>
                <w:color w:val="auto"/>
                <w:w w:val="86"/>
              </w:rPr>
              <w:t>(1,917)</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2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(1,917)</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80" w:type="dxa"/>
            <w:vAlign w:val="bottom"/>
            <w:gridSpan w:val="3"/>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(20)</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(1,937)</w:t>
            </w:r>
          </w:p>
        </w:tc>
        <w:tc>
          <w:tcPr>
            <w:tcW w:w="20" w:type="dxa"/>
            <w:vAlign w:val="bottom"/>
            <w:shd w:val="clear" w:color="auto" w:fill="CCEEFF"/>
          </w:tcPr>
          <w:p>
            <w:pPr>
              <w:spacing w:after="0"/>
              <w:rPr>
                <w:sz w:val="7"/>
                <w:szCs w:val="7"/>
                <w:color w:val="auto"/>
              </w:rPr>
            </w:pPr>
          </w:p>
        </w:tc>
      </w:tr>
      <w:tr>
        <w:trPr>
          <w:trHeight w:val="86"/>
        </w:trPr>
        <w:tc>
          <w:tcPr>
            <w:tcW w:w="1720" w:type="dxa"/>
            <w:vAlign w:val="bottom"/>
          </w:tcPr>
          <w:p>
            <w:pPr>
              <w:spacing w:after="0" w:line="79" w:lineRule="exact"/>
              <w:rPr>
                <w:sz w:val="20"/>
                <w:szCs w:val="20"/>
                <w:color w:val="auto"/>
              </w:rPr>
            </w:pPr>
            <w:r>
              <w:rPr>
                <w:rFonts w:ascii="Arial" w:cs="Arial" w:eastAsia="Arial" w:hAnsi="Arial"/>
                <w:sz w:val="8"/>
                <w:szCs w:val="8"/>
                <w:b w:val="1"/>
                <w:bCs w:val="1"/>
                <w:color w:val="auto"/>
              </w:rPr>
              <w:t>Balance at April 30, 2021</w:t>
            </w:r>
          </w:p>
        </w:tc>
        <w:tc>
          <w:tcPr>
            <w:tcW w:w="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4,857.6</w:t>
            </w:r>
          </w:p>
        </w:tc>
        <w:tc>
          <w:tcPr>
            <w:tcW w:w="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1,300.0</w:t>
            </w:r>
          </w:p>
        </w:tc>
        <w:tc>
          <w:tcPr>
            <w:tcW w:w="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20"/>
              <w:spacing w:after="0" w:line="79" w:lineRule="exact"/>
              <w:rPr>
                <w:sz w:val="20"/>
                <w:szCs w:val="20"/>
                <w:color w:val="auto"/>
              </w:rPr>
            </w:pPr>
            <w:r>
              <w:rPr>
                <w:rFonts w:ascii="Arial" w:cs="Arial" w:eastAsia="Arial" w:hAnsi="Arial"/>
                <w:sz w:val="8"/>
                <w:szCs w:val="8"/>
                <w:color w:val="auto"/>
              </w:rPr>
              <w:t>49.5</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(1,181,241)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388,147</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(71,840)</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w w:val="81"/>
              </w:rPr>
              <w:t>31,845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w w:val="81"/>
              </w:rPr>
              <w:t>(833,089)</w:t>
            </w:r>
          </w:p>
        </w:tc>
        <w:tc>
          <w:tcPr>
            <w:tcW w:w="1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(8,163)</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(841,252)</w:t>
            </w:r>
          </w:p>
        </w:tc>
        <w:tc>
          <w:tcPr>
            <w:tcW w:w="20" w:type="dxa"/>
            <w:vAlign w:val="bottom"/>
          </w:tcPr>
          <w:p>
            <w:pPr>
              <w:spacing w:after="0"/>
              <w:rPr>
                <w:sz w:val="7"/>
                <w:szCs w:val="7"/>
                <w:color w:val="auto"/>
              </w:rPr>
            </w:pPr>
          </w:p>
        </w:tc>
      </w:tr>
      <w:tr>
        <w:trPr>
          <w:trHeight w:val="252"/>
        </w:trPr>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6"/>
          </w:tcPr>
          <w:p>
            <w:pPr>
              <w:jc w:val="right"/>
              <w:ind w:right="420"/>
              <w:spacing w:after="0"/>
              <w:rPr>
                <w:sz w:val="20"/>
                <w:szCs w:val="20"/>
                <w:color w:val="auto"/>
              </w:rPr>
            </w:pPr>
            <w:r>
              <w:rPr>
                <w:rFonts w:ascii="Arial" w:cs="Arial" w:eastAsia="Arial" w:hAnsi="Arial"/>
                <w:sz w:val="8"/>
                <w:szCs w:val="8"/>
                <w:b w:val="1"/>
                <w:bCs w:val="1"/>
                <w:color w:val="auto"/>
              </w:rPr>
              <w:t>Number of units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6"/>
          </w:tcPr>
          <w:p>
            <w:pPr>
              <w:jc w:val="center"/>
              <w:ind w:right="140"/>
              <w:spacing w:after="0"/>
              <w:rPr>
                <w:sz w:val="20"/>
                <w:szCs w:val="20"/>
                <w:color w:val="auto"/>
              </w:rPr>
            </w:pPr>
            <w:r>
              <w:rPr>
                <w:rFonts w:ascii="Arial" w:cs="Arial" w:eastAsia="Arial" w:hAnsi="Arial"/>
                <w:sz w:val="8"/>
                <w:szCs w:val="8"/>
                <w:b w:val="1"/>
                <w:bCs w:val="1"/>
                <w:color w:val="auto"/>
                <w:w w:val="95"/>
              </w:rPr>
              <w:t>Accumulated</w:t>
            </w:r>
          </w:p>
        </w:tc>
        <w:tc>
          <w:tcPr>
            <w:tcW w:w="60" w:type="dxa"/>
            <w:vAlign w:val="bottom"/>
          </w:tcPr>
          <w:p>
            <w:pPr>
              <w:spacing w:after="0"/>
              <w:rPr>
                <w:sz w:val="21"/>
                <w:szCs w:val="21"/>
                <w:color w:val="auto"/>
              </w:rPr>
            </w:pPr>
          </w:p>
        </w:tc>
        <w:tc>
          <w:tcPr>
            <w:tcW w:w="820" w:type="dxa"/>
            <w:vAlign w:val="bottom"/>
            <w:gridSpan w:val="6"/>
          </w:tcPr>
          <w:p>
            <w:pPr>
              <w:jc w:val="center"/>
              <w:ind w:right="22"/>
              <w:spacing w:after="0"/>
              <w:rPr>
                <w:sz w:val="20"/>
                <w:szCs w:val="20"/>
                <w:color w:val="auto"/>
              </w:rPr>
            </w:pPr>
            <w:r>
              <w:rPr>
                <w:rFonts w:ascii="Arial" w:cs="Arial" w:eastAsia="Arial" w:hAnsi="Arial"/>
                <w:sz w:val="8"/>
                <w:szCs w:val="8"/>
                <w:b w:val="1"/>
                <w:bCs w:val="1"/>
                <w:color w:val="auto"/>
                <w:w w:val="93"/>
              </w:rPr>
              <w:t>Total Ferrellgas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8"/>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jc w:val="center"/>
              <w:ind w:right="80"/>
              <w:spacing w:after="0" w:line="69" w:lineRule="exact"/>
              <w:rPr>
                <w:sz w:val="20"/>
                <w:szCs w:val="20"/>
                <w:color w:val="auto"/>
              </w:rPr>
            </w:pPr>
            <w:r>
              <w:rPr>
                <w:rFonts w:ascii="Arial" w:cs="Arial" w:eastAsia="Arial" w:hAnsi="Arial"/>
                <w:sz w:val="7"/>
                <w:szCs w:val="7"/>
                <w:b w:val="1"/>
                <w:bCs w:val="1"/>
                <w:color w:val="auto"/>
              </w:rPr>
              <w:t>General</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tcPr>
          <w:p>
            <w:pPr>
              <w:jc w:val="center"/>
              <w:ind w:right="100"/>
              <w:spacing w:after="0" w:line="69" w:lineRule="exact"/>
              <w:rPr>
                <w:sz w:val="20"/>
                <w:szCs w:val="20"/>
                <w:color w:val="auto"/>
              </w:rPr>
            </w:pPr>
            <w:r>
              <w:rPr>
                <w:rFonts w:ascii="Arial" w:cs="Arial" w:eastAsia="Arial" w:hAnsi="Arial"/>
                <w:sz w:val="7"/>
                <w:szCs w:val="7"/>
                <w:b w:val="1"/>
                <w:bCs w:val="1"/>
                <w:color w:val="auto"/>
              </w:rPr>
              <w:t>General</w:t>
            </w:r>
          </w:p>
        </w:tc>
        <w:tc>
          <w:tcPr>
            <w:tcW w:w="80" w:type="dxa"/>
            <w:vAlign w:val="bottom"/>
          </w:tcPr>
          <w:p>
            <w:pPr>
              <w:spacing w:after="0"/>
              <w:rPr>
                <w:sz w:val="5"/>
                <w:szCs w:val="5"/>
                <w:color w:val="auto"/>
              </w:rPr>
            </w:pPr>
          </w:p>
        </w:tc>
        <w:tc>
          <w:tcPr>
            <w:tcW w:w="520" w:type="dxa"/>
            <w:vAlign w:val="bottom"/>
            <w:gridSpan w:val="2"/>
          </w:tcPr>
          <w:p>
            <w:pPr>
              <w:jc w:val="center"/>
              <w:ind w:left="242"/>
              <w:spacing w:after="0" w:line="69" w:lineRule="exact"/>
              <w:rPr>
                <w:sz w:val="20"/>
                <w:szCs w:val="20"/>
                <w:color w:val="auto"/>
              </w:rPr>
            </w:pPr>
            <w:r>
              <w:rPr>
                <w:rFonts w:ascii="Arial" w:cs="Arial" w:eastAsia="Arial" w:hAnsi="Arial"/>
                <w:sz w:val="7"/>
                <w:szCs w:val="7"/>
                <w:b w:val="1"/>
                <w:bCs w:val="1"/>
                <w:color w:val="auto"/>
              </w:rPr>
              <w:t>other</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6"/>
          </w:tcPr>
          <w:p>
            <w:pPr>
              <w:jc w:val="center"/>
              <w:ind w:right="22"/>
              <w:spacing w:after="0" w:line="69" w:lineRule="exact"/>
              <w:rPr>
                <w:sz w:val="20"/>
                <w:szCs w:val="20"/>
                <w:color w:val="auto"/>
              </w:rPr>
            </w:pPr>
            <w:r>
              <w:rPr>
                <w:rFonts w:ascii="Arial" w:cs="Arial" w:eastAsia="Arial" w:hAnsi="Arial"/>
                <w:sz w:val="7"/>
                <w:szCs w:val="7"/>
                <w:b w:val="1"/>
                <w:bCs w:val="1"/>
                <w:color w:val="auto"/>
              </w:rPr>
              <w:t>Partner, L.P.</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0"/>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4"/>
          </w:tcPr>
          <w:p>
            <w:pPr>
              <w:jc w:val="center"/>
              <w:ind w:right="260"/>
              <w:spacing w:after="0" w:line="90" w:lineRule="exact"/>
              <w:rPr>
                <w:sz w:val="20"/>
                <w:szCs w:val="20"/>
                <w:color w:val="auto"/>
              </w:rPr>
            </w:pPr>
            <w:r>
              <w:rPr>
                <w:rFonts w:ascii="Arial" w:cs="Arial" w:eastAsia="Arial" w:hAnsi="Arial"/>
                <w:sz w:val="8"/>
                <w:szCs w:val="8"/>
                <w:b w:val="1"/>
                <w:bCs w:val="1"/>
                <w:color w:val="auto"/>
                <w:w w:val="95"/>
              </w:rPr>
              <w:t>Class A</w:t>
            </w:r>
          </w:p>
        </w:tc>
        <w:tc>
          <w:tcPr>
            <w:tcW w:w="100" w:type="dxa"/>
            <w:vAlign w:val="bottom"/>
          </w:tcPr>
          <w:p>
            <w:pPr>
              <w:spacing w:after="0"/>
              <w:rPr>
                <w:sz w:val="7"/>
                <w:szCs w:val="7"/>
                <w:color w:val="auto"/>
              </w:rPr>
            </w:pPr>
          </w:p>
        </w:tc>
        <w:tc>
          <w:tcPr>
            <w:tcW w:w="50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4"/>
              </w:rPr>
              <w:t>partner</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center"/>
              <w:ind w:right="180"/>
              <w:spacing w:after="0" w:line="90" w:lineRule="exact"/>
              <w:rPr>
                <w:sz w:val="20"/>
                <w:szCs w:val="20"/>
                <w:color w:val="auto"/>
              </w:rPr>
            </w:pPr>
            <w:r>
              <w:rPr>
                <w:rFonts w:ascii="Arial" w:cs="Arial" w:eastAsia="Arial" w:hAnsi="Arial"/>
                <w:sz w:val="8"/>
                <w:szCs w:val="8"/>
                <w:b w:val="1"/>
                <w:bCs w:val="1"/>
                <w:color w:val="auto"/>
                <w:w w:val="95"/>
              </w:rPr>
              <w:t>Class A</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center"/>
              <w:ind w:right="100"/>
              <w:spacing w:after="0" w:line="90" w:lineRule="exact"/>
              <w:rPr>
                <w:sz w:val="20"/>
                <w:szCs w:val="20"/>
                <w:color w:val="auto"/>
              </w:rPr>
            </w:pPr>
            <w:r>
              <w:rPr>
                <w:rFonts w:ascii="Arial" w:cs="Arial" w:eastAsia="Arial" w:hAnsi="Arial"/>
                <w:sz w:val="8"/>
                <w:szCs w:val="8"/>
                <w:b w:val="1"/>
                <w:bCs w:val="1"/>
                <w:color w:val="auto"/>
              </w:rPr>
              <w:t>partner</w:t>
            </w:r>
          </w:p>
        </w:tc>
        <w:tc>
          <w:tcPr>
            <w:tcW w:w="80" w:type="dxa"/>
            <w:vAlign w:val="bottom"/>
          </w:tcPr>
          <w:p>
            <w:pPr>
              <w:spacing w:after="0"/>
              <w:rPr>
                <w:sz w:val="7"/>
                <w:szCs w:val="7"/>
                <w:color w:val="auto"/>
              </w:rPr>
            </w:pPr>
          </w:p>
        </w:tc>
        <w:tc>
          <w:tcPr>
            <w:tcW w:w="940" w:type="dxa"/>
            <w:vAlign w:val="bottom"/>
            <w:gridSpan w:val="6"/>
          </w:tcPr>
          <w:p>
            <w:pPr>
              <w:jc w:val="center"/>
              <w:ind w:right="120"/>
              <w:spacing w:after="0" w:line="90" w:lineRule="exact"/>
              <w:rPr>
                <w:sz w:val="20"/>
                <w:szCs w:val="20"/>
                <w:color w:val="auto"/>
              </w:rPr>
            </w:pPr>
            <w:r>
              <w:rPr>
                <w:rFonts w:ascii="Arial" w:cs="Arial" w:eastAsia="Arial" w:hAnsi="Arial"/>
                <w:sz w:val="8"/>
                <w:szCs w:val="8"/>
                <w:b w:val="1"/>
                <w:bCs w:val="1"/>
                <w:color w:val="auto"/>
                <w:w w:val="91"/>
              </w:rPr>
              <w:t>comprehensive</w:t>
            </w:r>
          </w:p>
        </w:tc>
        <w:tc>
          <w:tcPr>
            <w:tcW w:w="60" w:type="dxa"/>
            <w:vAlign w:val="bottom"/>
          </w:tcPr>
          <w:p>
            <w:pPr>
              <w:spacing w:after="0"/>
              <w:rPr>
                <w:sz w:val="7"/>
                <w:szCs w:val="7"/>
                <w:color w:val="auto"/>
              </w:rPr>
            </w:pPr>
          </w:p>
        </w:tc>
        <w:tc>
          <w:tcPr>
            <w:tcW w:w="820" w:type="dxa"/>
            <w:vAlign w:val="bottom"/>
            <w:gridSpan w:val="6"/>
          </w:tcPr>
          <w:p>
            <w:pPr>
              <w:jc w:val="center"/>
              <w:ind w:right="22"/>
              <w:spacing w:after="0" w:line="90" w:lineRule="exact"/>
              <w:rPr>
                <w:sz w:val="20"/>
                <w:szCs w:val="20"/>
                <w:color w:val="auto"/>
              </w:rPr>
            </w:pPr>
            <w:r>
              <w:rPr>
                <w:rFonts w:ascii="Arial" w:cs="Arial" w:eastAsia="Arial" w:hAnsi="Arial"/>
                <w:sz w:val="8"/>
                <w:szCs w:val="8"/>
                <w:b w:val="1"/>
                <w:bCs w:val="1"/>
                <w:color w:val="auto"/>
                <w:w w:val="93"/>
              </w:rPr>
              <w:t>partners’</w:t>
            </w:r>
          </w:p>
        </w:tc>
        <w:tc>
          <w:tcPr>
            <w:tcW w:w="120" w:type="dxa"/>
            <w:vAlign w:val="bottom"/>
          </w:tcPr>
          <w:p>
            <w:pPr>
              <w:spacing w:after="0"/>
              <w:rPr>
                <w:sz w:val="7"/>
                <w:szCs w:val="7"/>
                <w:color w:val="auto"/>
              </w:rPr>
            </w:pPr>
          </w:p>
        </w:tc>
        <w:tc>
          <w:tcPr>
            <w:tcW w:w="880" w:type="dxa"/>
            <w:vAlign w:val="bottom"/>
            <w:gridSpan w:val="4"/>
          </w:tcPr>
          <w:p>
            <w:pPr>
              <w:jc w:val="right"/>
              <w:ind w:right="99"/>
              <w:spacing w:after="0" w:line="90" w:lineRule="exact"/>
              <w:rPr>
                <w:sz w:val="20"/>
                <w:szCs w:val="20"/>
                <w:color w:val="auto"/>
              </w:rPr>
            </w:pPr>
            <w:r>
              <w:rPr>
                <w:rFonts w:ascii="Arial" w:cs="Arial" w:eastAsia="Arial" w:hAnsi="Arial"/>
                <w:sz w:val="8"/>
                <w:szCs w:val="8"/>
                <w:b w:val="1"/>
                <w:bCs w:val="1"/>
                <w:color w:val="auto"/>
              </w:rPr>
              <w:t>Non-controlling</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3"/>
          </w:tcPr>
          <w:p>
            <w:pPr>
              <w:jc w:val="center"/>
              <w:ind w:right="160"/>
              <w:spacing w:after="0" w:line="90" w:lineRule="exact"/>
              <w:rPr>
                <w:sz w:val="20"/>
                <w:szCs w:val="20"/>
                <w:color w:val="auto"/>
              </w:rPr>
            </w:pPr>
            <w:r>
              <w:rPr>
                <w:rFonts w:ascii="Arial" w:cs="Arial" w:eastAsia="Arial" w:hAnsi="Arial"/>
                <w:sz w:val="8"/>
                <w:szCs w:val="8"/>
                <w:b w:val="1"/>
                <w:bCs w:val="1"/>
                <w:color w:val="auto"/>
                <w:w w:val="97"/>
              </w:rPr>
              <w:t>Total partners’</w:t>
            </w:r>
          </w:p>
        </w:tc>
      </w:tr>
      <w:tr>
        <w:trPr>
          <w:trHeight w:val="101"/>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5"/>
          </w:tcPr>
          <w:p>
            <w:pPr>
              <w:jc w:val="center"/>
              <w:ind w:right="240"/>
              <w:spacing w:after="0"/>
              <w:rPr>
                <w:sz w:val="20"/>
                <w:szCs w:val="20"/>
                <w:color w:val="auto"/>
              </w:rPr>
            </w:pPr>
            <w:r>
              <w:rPr>
                <w:rFonts w:ascii="Arial" w:cs="Arial" w:eastAsia="Arial" w:hAnsi="Arial"/>
                <w:sz w:val="8"/>
                <w:szCs w:val="8"/>
                <w:b w:val="1"/>
                <w:bCs w:val="1"/>
                <w:color w:val="auto"/>
                <w:w w:val="91"/>
              </w:rPr>
              <w:t>unitholders</w:t>
            </w:r>
          </w:p>
        </w:tc>
        <w:tc>
          <w:tcPr>
            <w:tcW w:w="600" w:type="dxa"/>
            <w:vAlign w:val="bottom"/>
            <w:gridSpan w:val="3"/>
          </w:tcPr>
          <w:p>
            <w:pPr>
              <w:jc w:val="center"/>
              <w:ind w:right="60"/>
              <w:spacing w:after="0"/>
              <w:rPr>
                <w:sz w:val="20"/>
                <w:szCs w:val="20"/>
                <w:color w:val="auto"/>
              </w:rPr>
            </w:pPr>
            <w:r>
              <w:rPr>
                <w:rFonts w:ascii="Arial" w:cs="Arial" w:eastAsia="Arial" w:hAnsi="Arial"/>
                <w:sz w:val="8"/>
                <w:szCs w:val="8"/>
                <w:b w:val="1"/>
                <w:bCs w:val="1"/>
                <w:color w:val="auto"/>
                <w:w w:val="97"/>
              </w:rPr>
              <w:t>unitholder</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91"/>
              </w:rPr>
              <w:t>unitholders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w w:val="91"/>
              </w:rPr>
              <w:t>unitholder</w:t>
            </w:r>
          </w:p>
        </w:tc>
        <w:tc>
          <w:tcPr>
            <w:tcW w:w="80" w:type="dxa"/>
            <w:vAlign w:val="bottom"/>
          </w:tcPr>
          <w:p>
            <w:pPr>
              <w:spacing w:after="0"/>
              <w:rPr>
                <w:sz w:val="8"/>
                <w:szCs w:val="8"/>
                <w:color w:val="auto"/>
              </w:rPr>
            </w:pPr>
          </w:p>
        </w:tc>
        <w:tc>
          <w:tcPr>
            <w:tcW w:w="520" w:type="dxa"/>
            <w:vAlign w:val="bottom"/>
            <w:gridSpan w:val="2"/>
          </w:tcPr>
          <w:p>
            <w:pPr>
              <w:jc w:val="center"/>
              <w:ind w:left="242"/>
              <w:spacing w:after="0"/>
              <w:rPr>
                <w:sz w:val="20"/>
                <w:szCs w:val="20"/>
                <w:color w:val="auto"/>
              </w:rPr>
            </w:pPr>
            <w:r>
              <w:rPr>
                <w:rFonts w:ascii="Arial" w:cs="Arial" w:eastAsia="Arial" w:hAnsi="Arial"/>
                <w:sz w:val="8"/>
                <w:szCs w:val="8"/>
                <w:b w:val="1"/>
                <w:bCs w:val="1"/>
                <w:color w:val="auto"/>
                <w:w w:val="74"/>
              </w:rPr>
              <w:t>loss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4"/>
          </w:tcPr>
          <w:p>
            <w:pPr>
              <w:jc w:val="center"/>
              <w:ind w:right="282"/>
              <w:spacing w:after="0"/>
              <w:rPr>
                <w:sz w:val="20"/>
                <w:szCs w:val="20"/>
                <w:color w:val="auto"/>
              </w:rPr>
            </w:pPr>
            <w:r>
              <w:rPr>
                <w:rFonts w:ascii="Arial" w:cs="Arial" w:eastAsia="Arial" w:hAnsi="Arial"/>
                <w:sz w:val="8"/>
                <w:szCs w:val="8"/>
                <w:b w:val="1"/>
                <w:bCs w:val="1"/>
                <w:color w:val="auto"/>
              </w:rPr>
              <w:t>equity</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259"/>
              <w:spacing w:after="0"/>
              <w:rPr>
                <w:sz w:val="20"/>
                <w:szCs w:val="20"/>
                <w:color w:val="auto"/>
              </w:rPr>
            </w:pPr>
            <w:r>
              <w:rPr>
                <w:rFonts w:ascii="Arial" w:cs="Arial" w:eastAsia="Arial" w:hAnsi="Arial"/>
                <w:sz w:val="8"/>
                <w:szCs w:val="8"/>
                <w:b w:val="1"/>
                <w:bCs w:val="1"/>
                <w:color w:val="auto"/>
                <w:w w:val="89"/>
              </w:rPr>
              <w:t>interest</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equity</w:t>
            </w:r>
          </w:p>
        </w:tc>
      </w:tr>
      <w:tr>
        <w:trPr>
          <w:trHeight w:val="79"/>
        </w:trPr>
        <w:tc>
          <w:tcPr>
            <w:tcW w:w="180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 at July 31, 2019</w:t>
            </w: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Arial" w:cs="Arial" w:eastAsia="Arial" w:hAnsi="Arial"/>
                <w:sz w:val="8"/>
                <w:szCs w:val="8"/>
                <w:color w:val="auto"/>
              </w:rPr>
              <w:t>4,857.6</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989.9</w:t>
            </w: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gridSpan w:val="2"/>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(1,046,245)</w:t>
            </w: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8"/>
              </w:rPr>
              <w:t>$</w:t>
            </w:r>
          </w:p>
        </w:tc>
        <w:tc>
          <w:tcPr>
            <w:tcW w:w="5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(70,476)</w:t>
            </w: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Arial" w:cs="Arial" w:eastAsia="Arial" w:hAnsi="Arial"/>
                <w:sz w:val="8"/>
                <w:szCs w:val="8"/>
                <w:color w:val="auto"/>
                <w:w w:val="93"/>
              </w:rPr>
              <w:t>(14,512)</w:t>
            </w: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w w:val="92"/>
              </w:rPr>
              <w:t>(1,131,233)</w:t>
            </w: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jc w:val="right"/>
              <w:ind w:right="78"/>
              <w:spacing w:after="0" w:line="79" w:lineRule="exact"/>
              <w:rPr>
                <w:sz w:val="20"/>
                <w:szCs w:val="20"/>
                <w:color w:val="auto"/>
              </w:rPr>
            </w:pPr>
            <w:r>
              <w:rPr>
                <w:rFonts w:ascii="Arial" w:cs="Arial" w:eastAsia="Arial" w:hAnsi="Arial"/>
                <w:sz w:val="8"/>
                <w:szCs w:val="8"/>
                <w:color w:val="auto"/>
                <w:w w:val="88"/>
              </w:rPr>
              <w:t>$</w:t>
            </w:r>
          </w:p>
        </w:tc>
        <w:tc>
          <w:tcPr>
            <w:tcW w:w="1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(7,705)</w:t>
            </w: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(1,138,938)</w:t>
            </w:r>
          </w:p>
        </w:tc>
        <w:tc>
          <w:tcPr>
            <w:tcW w:w="20" w:type="dxa"/>
            <w:vAlign w:val="bottom"/>
          </w:tcPr>
          <w:p>
            <w:pPr>
              <w:spacing w:after="0"/>
              <w:rPr>
                <w:sz w:val="6"/>
                <w:szCs w:val="6"/>
                <w:color w:val="auto"/>
              </w:rPr>
            </w:pPr>
          </w:p>
        </w:tc>
      </w:tr>
      <w:tr>
        <w:trPr>
          <w:trHeight w:val="81"/>
        </w:trPr>
        <w:tc>
          <w:tcPr>
            <w:tcW w:w="1800" w:type="dxa"/>
            <w:vAlign w:val="bottom"/>
            <w:gridSpan w:val="2"/>
          </w:tcPr>
          <w:p>
            <w:pPr>
              <w:spacing w:after="0" w:line="81"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1800" w:type="dxa"/>
            <w:vAlign w:val="bottom"/>
            <w:gridSpan w:val="2"/>
          </w:tcPr>
          <w:p>
            <w:pPr>
              <w:spacing w:after="0"/>
              <w:rPr>
                <w:sz w:val="20"/>
                <w:szCs w:val="20"/>
                <w:color w:val="auto"/>
              </w:rPr>
            </w:pPr>
            <w:r>
              <w:rPr>
                <w:rFonts w:ascii="Arial" w:cs="Arial" w:eastAsia="Arial" w:hAnsi="Arial"/>
                <w:sz w:val="8"/>
                <w:szCs w:val="8"/>
                <w:color w:val="auto"/>
              </w:rPr>
              <w:t>compensation charges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779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8"/>
                <w:szCs w:val="8"/>
                <w:color w:val="auto"/>
              </w:rPr>
              <w:t>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Arial" w:cs="Arial" w:eastAsia="Arial" w:hAnsi="Arial"/>
                <w:sz w:val="8"/>
                <w:szCs w:val="8"/>
                <w:color w:val="auto"/>
              </w:rPr>
              <w:t>787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8</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795</w:t>
            </w:r>
          </w:p>
        </w:tc>
        <w:tc>
          <w:tcPr>
            <w:tcW w:w="20" w:type="dxa"/>
            <w:vAlign w:val="bottom"/>
          </w:tcPr>
          <w:p>
            <w:pPr>
              <w:spacing w:after="0"/>
              <w:rPr>
                <w:sz w:val="8"/>
                <w:szCs w:val="8"/>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Distributions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3"/>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w:t>
            </w:r>
          </w:p>
        </w:tc>
        <w:tc>
          <w:tcPr>
            <w:tcW w:w="20" w:type="dxa"/>
            <w:vAlign w:val="bottom"/>
          </w:tcPr>
          <w:p>
            <w:pPr>
              <w:spacing w:after="0"/>
              <w:rPr>
                <w:sz w:val="7"/>
                <w:szCs w:val="7"/>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w w:val="94"/>
              </w:rPr>
              <w:t>Cumulative adjustment for lease accounting standard</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rPr>
              <w:t>(1,347)</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60"/>
              <w:spacing w:after="0" w:line="90" w:lineRule="exact"/>
              <w:rPr>
                <w:sz w:val="20"/>
                <w:szCs w:val="20"/>
                <w:color w:val="auto"/>
              </w:rPr>
            </w:pPr>
            <w:r>
              <w:rPr>
                <w:rFonts w:ascii="Arial" w:cs="Arial" w:eastAsia="Arial" w:hAnsi="Arial"/>
                <w:sz w:val="8"/>
                <w:szCs w:val="8"/>
                <w:color w:val="auto"/>
              </w:rPr>
              <w:t>(14)</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2"/>
          </w:tcPr>
          <w:p>
            <w:pPr>
              <w:jc w:val="right"/>
              <w:spacing w:after="0" w:line="90" w:lineRule="exact"/>
              <w:rPr>
                <w:sz w:val="20"/>
                <w:szCs w:val="20"/>
                <w:color w:val="auto"/>
              </w:rPr>
            </w:pPr>
            <w:r>
              <w:rPr>
                <w:rFonts w:ascii="Arial" w:cs="Arial" w:eastAsia="Arial" w:hAnsi="Arial"/>
                <w:sz w:val="8"/>
                <w:szCs w:val="8"/>
                <w:color w:val="auto"/>
              </w:rPr>
              <w:t>(1,361)</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spacing w:after="0" w:line="90" w:lineRule="exact"/>
              <w:rPr>
                <w:sz w:val="20"/>
                <w:szCs w:val="20"/>
                <w:color w:val="auto"/>
              </w:rPr>
            </w:pPr>
            <w:r>
              <w:rPr>
                <w:rFonts w:ascii="Arial" w:cs="Arial" w:eastAsia="Arial" w:hAnsi="Arial"/>
                <w:sz w:val="8"/>
                <w:szCs w:val="8"/>
                <w:color w:val="auto"/>
              </w:rPr>
              <w:t>(14)</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(1,375)</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Net loss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3"/>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00"/>
              <w:spacing w:after="0" w:line="90" w:lineRule="exact"/>
              <w:rPr>
                <w:sz w:val="20"/>
                <w:szCs w:val="20"/>
                <w:color w:val="auto"/>
              </w:rPr>
            </w:pPr>
            <w:r>
              <w:rPr>
                <w:rFonts w:ascii="Arial" w:cs="Arial" w:eastAsia="Arial" w:hAnsi="Arial"/>
                <w:sz w:val="8"/>
                <w:szCs w:val="8"/>
                <w:color w:val="auto"/>
              </w:rPr>
              <w:t>(44,891)</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60"/>
              <w:spacing w:after="0" w:line="90" w:lineRule="exact"/>
              <w:rPr>
                <w:sz w:val="20"/>
                <w:szCs w:val="20"/>
                <w:color w:val="auto"/>
              </w:rPr>
            </w:pPr>
            <w:r>
              <w:rPr>
                <w:rFonts w:ascii="Arial" w:cs="Arial" w:eastAsia="Arial" w:hAnsi="Arial"/>
                <w:sz w:val="8"/>
                <w:szCs w:val="8"/>
                <w:color w:val="auto"/>
              </w:rPr>
              <w:t>(453)</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(45,344)</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(373)</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(45,717)</w:t>
            </w:r>
          </w:p>
        </w:tc>
        <w:tc>
          <w:tcPr>
            <w:tcW w:w="20" w:type="dxa"/>
            <w:vAlign w:val="bottom"/>
          </w:tcPr>
          <w:p>
            <w:pPr>
              <w:spacing w:after="0"/>
              <w:rPr>
                <w:sz w:val="7"/>
                <w:szCs w:val="7"/>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Other comprehensive loss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gridSpan w:val="4"/>
          </w:tcPr>
          <w:p>
            <w:pPr>
              <w:jc w:val="right"/>
              <w:ind w:right="120"/>
              <w:spacing w:after="0" w:line="90" w:lineRule="exact"/>
              <w:rPr>
                <w:sz w:val="20"/>
                <w:szCs w:val="20"/>
                <w:color w:val="auto"/>
              </w:rPr>
            </w:pPr>
            <w:r>
              <w:rPr>
                <w:rFonts w:ascii="Arial" w:cs="Arial" w:eastAsia="Arial" w:hAnsi="Arial"/>
                <w:sz w:val="8"/>
                <w:szCs w:val="8"/>
                <w:color w:val="auto"/>
              </w:rPr>
              <w:t>(6,086)</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2"/>
          </w:tcPr>
          <w:p>
            <w:pPr>
              <w:jc w:val="right"/>
              <w:spacing w:after="0" w:line="90" w:lineRule="exact"/>
              <w:rPr>
                <w:sz w:val="20"/>
                <w:szCs w:val="20"/>
                <w:color w:val="auto"/>
              </w:rPr>
            </w:pPr>
            <w:r>
              <w:rPr>
                <w:rFonts w:ascii="Arial" w:cs="Arial" w:eastAsia="Arial" w:hAnsi="Arial"/>
                <w:sz w:val="8"/>
                <w:szCs w:val="8"/>
                <w:color w:val="auto"/>
              </w:rPr>
              <w:t>(6,086)</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spacing w:after="0" w:line="90" w:lineRule="exact"/>
              <w:rPr>
                <w:sz w:val="20"/>
                <w:szCs w:val="20"/>
                <w:color w:val="auto"/>
              </w:rPr>
            </w:pPr>
            <w:r>
              <w:rPr>
                <w:rFonts w:ascii="Arial" w:cs="Arial" w:eastAsia="Arial" w:hAnsi="Arial"/>
                <w:sz w:val="8"/>
                <w:szCs w:val="8"/>
                <w:color w:val="auto"/>
              </w:rPr>
              <w:t>(62)</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(6,148)</w:t>
            </w:r>
          </w:p>
        </w:tc>
        <w:tc>
          <w:tcPr>
            <w:tcW w:w="20" w:type="dxa"/>
            <w:vAlign w:val="bottom"/>
          </w:tcPr>
          <w:p>
            <w:pPr>
              <w:spacing w:after="0"/>
              <w:rPr>
                <w:sz w:val="7"/>
                <w:szCs w:val="7"/>
                <w:color w:val="auto"/>
              </w:rPr>
            </w:pPr>
          </w:p>
        </w:tc>
      </w:tr>
      <w:tr>
        <w:trPr>
          <w:trHeight w:val="79"/>
        </w:trPr>
        <w:tc>
          <w:tcPr>
            <w:tcW w:w="180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8"/>
                <w:szCs w:val="8"/>
                <w:b w:val="1"/>
                <w:bCs w:val="1"/>
                <w:color w:val="auto"/>
              </w:rPr>
              <w:t>Balance at October 31, 2019</w:t>
            </w: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Arial" w:cs="Arial" w:eastAsia="Arial" w:hAnsi="Arial"/>
                <w:sz w:val="8"/>
                <w:szCs w:val="8"/>
                <w:color w:val="auto"/>
              </w:rPr>
              <w:t>4,857.6</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989.9</w:t>
            </w: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(1,091,704)</w:t>
            </w: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rPr>
              <w:t>(70,935)</w:t>
            </w: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Arial" w:cs="Arial" w:eastAsia="Arial" w:hAnsi="Arial"/>
                <w:sz w:val="8"/>
                <w:szCs w:val="8"/>
                <w:color w:val="auto"/>
                <w:w w:val="93"/>
              </w:rPr>
              <w:t>(20,598)</w:t>
            </w: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8"/>
                <w:szCs w:val="8"/>
                <w:color w:val="auto"/>
                <w:w w:val="92"/>
              </w:rPr>
              <w:t>(1,183,237)</w:t>
            </w: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(8,147)</w:t>
            </w: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(1,191,384)</w:t>
            </w:r>
          </w:p>
        </w:tc>
        <w:tc>
          <w:tcPr>
            <w:tcW w:w="20" w:type="dxa"/>
            <w:vAlign w:val="bottom"/>
          </w:tcPr>
          <w:p>
            <w:pPr>
              <w:spacing w:after="0"/>
              <w:rPr>
                <w:sz w:val="6"/>
                <w:szCs w:val="6"/>
                <w:color w:val="auto"/>
              </w:rPr>
            </w:pPr>
          </w:p>
        </w:tc>
      </w:tr>
      <w:tr>
        <w:trPr>
          <w:trHeight w:val="81"/>
        </w:trPr>
        <w:tc>
          <w:tcPr>
            <w:tcW w:w="1800" w:type="dxa"/>
            <w:vAlign w:val="bottom"/>
            <w:gridSpan w:val="2"/>
          </w:tcPr>
          <w:p>
            <w:pPr>
              <w:spacing w:after="0" w:line="81"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1800" w:type="dxa"/>
            <w:vAlign w:val="bottom"/>
            <w:gridSpan w:val="2"/>
          </w:tcPr>
          <w:p>
            <w:pPr>
              <w:spacing w:after="0"/>
              <w:rPr>
                <w:sz w:val="20"/>
                <w:szCs w:val="20"/>
                <w:color w:val="auto"/>
              </w:rPr>
            </w:pPr>
            <w:r>
              <w:rPr>
                <w:rFonts w:ascii="Arial" w:cs="Arial" w:eastAsia="Arial" w:hAnsi="Arial"/>
                <w:sz w:val="8"/>
                <w:szCs w:val="8"/>
                <w:color w:val="auto"/>
              </w:rPr>
              <w:t>compensation charges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618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8"/>
                <w:szCs w:val="8"/>
                <w:color w:val="auto"/>
              </w:rPr>
              <w:t>6</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Arial" w:cs="Arial" w:eastAsia="Arial" w:hAnsi="Arial"/>
                <w:sz w:val="8"/>
                <w:szCs w:val="8"/>
                <w:color w:val="auto"/>
              </w:rPr>
              <w:t>624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6</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color w:val="auto"/>
              </w:rPr>
              <w:t>630</w:t>
            </w:r>
          </w:p>
        </w:tc>
        <w:tc>
          <w:tcPr>
            <w:tcW w:w="20" w:type="dxa"/>
            <w:vAlign w:val="bottom"/>
          </w:tcPr>
          <w:p>
            <w:pPr>
              <w:spacing w:after="0"/>
              <w:rPr>
                <w:sz w:val="8"/>
                <w:szCs w:val="8"/>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Distributions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3"/>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(157)</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(157)</w:t>
            </w:r>
          </w:p>
        </w:tc>
        <w:tc>
          <w:tcPr>
            <w:tcW w:w="20" w:type="dxa"/>
            <w:vAlign w:val="bottom"/>
          </w:tcPr>
          <w:p>
            <w:pPr>
              <w:spacing w:after="0"/>
              <w:rPr>
                <w:sz w:val="7"/>
                <w:szCs w:val="7"/>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Net earnings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color w:val="auto"/>
              </w:rPr>
              <w:t>47,725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482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2"/>
          </w:tcPr>
          <w:p>
            <w:pPr>
              <w:jc w:val="right"/>
              <w:spacing w:after="0" w:line="90" w:lineRule="exact"/>
              <w:rPr>
                <w:sz w:val="20"/>
                <w:szCs w:val="20"/>
                <w:color w:val="auto"/>
              </w:rPr>
            </w:pPr>
            <w:r>
              <w:rPr>
                <w:rFonts w:ascii="Arial" w:cs="Arial" w:eastAsia="Arial" w:hAnsi="Arial"/>
                <w:sz w:val="8"/>
                <w:szCs w:val="8"/>
                <w:color w:val="auto"/>
              </w:rPr>
              <w:t>48,207</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spacing w:after="0" w:line="90" w:lineRule="exact"/>
              <w:rPr>
                <w:sz w:val="20"/>
                <w:szCs w:val="20"/>
                <w:color w:val="auto"/>
              </w:rPr>
            </w:pPr>
            <w:r>
              <w:rPr>
                <w:rFonts w:ascii="Arial" w:cs="Arial" w:eastAsia="Arial" w:hAnsi="Arial"/>
                <w:sz w:val="8"/>
                <w:szCs w:val="8"/>
                <w:color w:val="auto"/>
              </w:rPr>
              <w:t>584</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48,791</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comprehensive loss</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3"/>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gridSpan w:val="4"/>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(2,528)</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(2,528)</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(27)</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(2,555)</w:t>
            </w:r>
          </w:p>
        </w:tc>
        <w:tc>
          <w:tcPr>
            <w:tcW w:w="20" w:type="dxa"/>
            <w:vAlign w:val="bottom"/>
          </w:tcPr>
          <w:p>
            <w:pPr>
              <w:spacing w:after="0"/>
              <w:rPr>
                <w:sz w:val="7"/>
                <w:szCs w:val="7"/>
                <w:color w:val="auto"/>
              </w:rPr>
            </w:pPr>
          </w:p>
        </w:tc>
      </w:tr>
      <w:tr>
        <w:trPr>
          <w:trHeight w:val="79"/>
        </w:trPr>
        <w:tc>
          <w:tcPr>
            <w:tcW w:w="180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Balance at January 31, 2020</w:t>
            </w: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4,857.6</w:t>
            </w:r>
          </w:p>
        </w:tc>
        <w:tc>
          <w:tcPr>
            <w:tcW w:w="1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989.9</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(1,043,361)</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(70,447)</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w w:val="93"/>
              </w:rPr>
              <w:t>(23,126)</w:t>
            </w: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w w:val="92"/>
              </w:rPr>
              <w:t>(1,136,934)</w:t>
            </w:r>
          </w:p>
        </w:tc>
        <w:tc>
          <w:tcPr>
            <w:tcW w:w="1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(7,741)</w:t>
            </w:r>
          </w:p>
        </w:tc>
        <w:tc>
          <w:tcPr>
            <w:tcW w:w="1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color w:val="auto"/>
              </w:rPr>
              <w:t>(1,144,675)</w:t>
            </w:r>
          </w:p>
        </w:tc>
        <w:tc>
          <w:tcPr>
            <w:tcW w:w="20" w:type="dxa"/>
            <w:vAlign w:val="bottom"/>
          </w:tcPr>
          <w:p>
            <w:pPr>
              <w:spacing w:after="0"/>
              <w:rPr>
                <w:sz w:val="6"/>
                <w:szCs w:val="6"/>
                <w:color w:val="auto"/>
              </w:rPr>
            </w:pPr>
          </w:p>
        </w:tc>
      </w:tr>
      <w:tr>
        <w:trPr>
          <w:trHeight w:val="81"/>
        </w:trPr>
        <w:tc>
          <w:tcPr>
            <w:tcW w:w="1800" w:type="dxa"/>
            <w:vAlign w:val="bottom"/>
            <w:gridSpan w:val="2"/>
            <w:shd w:val="clear" w:color="auto" w:fill="CCEEFF"/>
          </w:tcPr>
          <w:p>
            <w:pPr>
              <w:spacing w:after="0" w:line="81" w:lineRule="exact"/>
              <w:rPr>
                <w:sz w:val="20"/>
                <w:szCs w:val="20"/>
                <w:color w:val="auto"/>
              </w:rPr>
            </w:pPr>
            <w:r>
              <w:rPr>
                <w:rFonts w:ascii="Arial" w:cs="Arial" w:eastAsia="Arial" w:hAnsi="Arial"/>
                <w:sz w:val="8"/>
                <w:szCs w:val="8"/>
                <w:color w:val="auto"/>
              </w:rPr>
              <w:t>Contributions in connection with non-cash ESOP</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18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compensation charges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741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8</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749</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8"/>
                <w:szCs w:val="8"/>
                <w:color w:val="auto"/>
              </w:rPr>
              <w:t>757</w:t>
            </w:r>
          </w:p>
        </w:tc>
        <w:tc>
          <w:tcPr>
            <w:tcW w:w="20" w:type="dxa"/>
            <w:vAlign w:val="bottom"/>
          </w:tcPr>
          <w:p>
            <w:pPr>
              <w:spacing w:after="0"/>
              <w:rPr>
                <w:sz w:val="8"/>
                <w:szCs w:val="8"/>
                <w:color w:val="auto"/>
              </w:rPr>
            </w:pPr>
          </w:p>
        </w:tc>
      </w:tr>
      <w:tr>
        <w:trPr>
          <w:trHeight w:val="90"/>
        </w:trPr>
        <w:tc>
          <w:tcPr>
            <w:tcW w:w="1800" w:type="dxa"/>
            <w:vAlign w:val="bottom"/>
            <w:gridSpan w:val="2"/>
          </w:tcPr>
          <w:p>
            <w:pPr>
              <w:spacing w:after="0" w:line="90" w:lineRule="exact"/>
              <w:rPr>
                <w:sz w:val="20"/>
                <w:szCs w:val="20"/>
                <w:color w:val="auto"/>
              </w:rPr>
            </w:pPr>
            <w:r>
              <w:rPr>
                <w:rFonts w:ascii="Arial" w:cs="Arial" w:eastAsia="Arial" w:hAnsi="Arial"/>
                <w:sz w:val="8"/>
                <w:szCs w:val="8"/>
                <w:color w:val="auto"/>
              </w:rPr>
              <w:t>Net earnings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right"/>
              <w:ind w:right="100"/>
              <w:spacing w:after="0" w:line="90" w:lineRule="exact"/>
              <w:rPr>
                <w:sz w:val="20"/>
                <w:szCs w:val="20"/>
                <w:color w:val="auto"/>
              </w:rPr>
            </w:pPr>
            <w:r>
              <w:rPr>
                <w:rFonts w:ascii="Arial" w:cs="Arial" w:eastAsia="Arial" w:hAnsi="Arial"/>
                <w:sz w:val="8"/>
                <w:szCs w:val="8"/>
                <w:color w:val="auto"/>
              </w:rPr>
              <w:t>(15,239)</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60"/>
              <w:spacing w:after="0" w:line="90" w:lineRule="exact"/>
              <w:rPr>
                <w:sz w:val="20"/>
                <w:szCs w:val="20"/>
                <w:color w:val="auto"/>
              </w:rPr>
            </w:pPr>
            <w:r>
              <w:rPr>
                <w:rFonts w:ascii="Arial" w:cs="Arial" w:eastAsia="Arial" w:hAnsi="Arial"/>
                <w:sz w:val="8"/>
                <w:szCs w:val="8"/>
                <w:color w:val="auto"/>
              </w:rPr>
              <w:t>(154)</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tcPr>
          <w:p>
            <w:pPr>
              <w:jc w:val="right"/>
              <w:ind w:right="160"/>
              <w:spacing w:after="0" w:line="90"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2"/>
          </w:tcPr>
          <w:p>
            <w:pPr>
              <w:jc w:val="right"/>
              <w:spacing w:after="0" w:line="90" w:lineRule="exact"/>
              <w:rPr>
                <w:sz w:val="20"/>
                <w:szCs w:val="20"/>
                <w:color w:val="auto"/>
              </w:rPr>
            </w:pPr>
            <w:r>
              <w:rPr>
                <w:rFonts w:ascii="Arial" w:cs="Arial" w:eastAsia="Arial" w:hAnsi="Arial"/>
                <w:sz w:val="8"/>
                <w:szCs w:val="8"/>
                <w:color w:val="auto"/>
              </w:rPr>
              <w:t>(15,393)</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spacing w:after="0" w:line="90" w:lineRule="exact"/>
              <w:rPr>
                <w:sz w:val="20"/>
                <w:szCs w:val="20"/>
                <w:color w:val="auto"/>
              </w:rPr>
            </w:pPr>
            <w:r>
              <w:rPr>
                <w:rFonts w:ascii="Arial" w:cs="Arial" w:eastAsia="Arial" w:hAnsi="Arial"/>
                <w:sz w:val="8"/>
                <w:szCs w:val="8"/>
                <w:color w:val="auto"/>
              </w:rPr>
              <w:t>(78)</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Arial" w:cs="Arial" w:eastAsia="Arial" w:hAnsi="Arial"/>
                <w:sz w:val="8"/>
                <w:szCs w:val="8"/>
                <w:color w:val="auto"/>
              </w:rPr>
              <w:t>(15,471)</w:t>
            </w:r>
          </w:p>
        </w:tc>
        <w:tc>
          <w:tcPr>
            <w:tcW w:w="20" w:type="dxa"/>
            <w:vAlign w:val="bottom"/>
          </w:tcPr>
          <w:p>
            <w:pPr>
              <w:spacing w:after="0"/>
              <w:rPr>
                <w:sz w:val="7"/>
                <w:szCs w:val="7"/>
                <w:color w:val="auto"/>
              </w:rPr>
            </w:pPr>
          </w:p>
        </w:tc>
      </w:tr>
      <w:tr>
        <w:trPr>
          <w:trHeight w:val="90"/>
        </w:trPr>
        <w:tc>
          <w:tcPr>
            <w:tcW w:w="18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comprehensive income</w:t>
            </w: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3"/>
            <w:shd w:val="clear" w:color="auto" w:fill="CCEEFF"/>
          </w:tcPr>
          <w:p>
            <w:pPr>
              <w:jc w:val="right"/>
              <w:ind w:right="180"/>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3"/>
            <w:shd w:val="clear" w:color="auto" w:fill="CCEEFF"/>
          </w:tcPr>
          <w:p>
            <w:pPr>
              <w:jc w:val="right"/>
              <w:ind w:right="120"/>
              <w:spacing w:after="0" w:line="90"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gridSpan w:val="3"/>
            <w:shd w:val="clear" w:color="auto" w:fill="CCEEFF"/>
          </w:tcPr>
          <w:p>
            <w:pPr>
              <w:jc w:val="right"/>
              <w:ind w:right="80"/>
              <w:spacing w:after="0" w:line="90"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gridSpan w:val="3"/>
            <w:shd w:val="clear" w:color="auto" w:fill="CCEEFF"/>
          </w:tcPr>
          <w:p>
            <w:pPr>
              <w:jc w:val="right"/>
              <w:spacing w:after="0" w:line="90" w:lineRule="exact"/>
              <w:rPr>
                <w:sz w:val="20"/>
                <w:szCs w:val="20"/>
                <w:color w:val="auto"/>
              </w:rPr>
            </w:pPr>
            <w:r>
              <w:rPr>
                <w:rFonts w:ascii="Arial" w:cs="Arial" w:eastAsia="Arial" w:hAnsi="Arial"/>
                <w:sz w:val="8"/>
                <w:szCs w:val="8"/>
                <w:color w:val="auto"/>
              </w:rPr>
              <w:t>2,546</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auto"/>
              </w:rPr>
              <w:t>2,546</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26</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2,572</w:t>
            </w:r>
          </w:p>
        </w:tc>
        <w:tc>
          <w:tcPr>
            <w:tcW w:w="20" w:type="dxa"/>
            <w:vAlign w:val="bottom"/>
          </w:tcPr>
          <w:p>
            <w:pPr>
              <w:spacing w:after="0"/>
              <w:rPr>
                <w:sz w:val="7"/>
                <w:szCs w:val="7"/>
                <w:color w:val="auto"/>
              </w:rPr>
            </w:pPr>
          </w:p>
        </w:tc>
      </w:tr>
      <w:tr>
        <w:trPr>
          <w:trHeight w:val="86"/>
        </w:trPr>
        <w:tc>
          <w:tcPr>
            <w:tcW w:w="180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Balance at April 30, 2020</w:t>
            </w:r>
          </w:p>
        </w:tc>
        <w:tc>
          <w:tcPr>
            <w:tcW w:w="34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rPr>
              <w:t>4,857.6</w:t>
            </w:r>
          </w:p>
        </w:tc>
        <w:tc>
          <w:tcPr>
            <w:tcW w:w="1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989.9</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(1,057,859)</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w w:val="88"/>
              </w:rPr>
              <w:t>$</w:t>
            </w:r>
          </w:p>
        </w:tc>
        <w:tc>
          <w:tcPr>
            <w:tcW w:w="52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rPr>
              <w:t>(70,593)</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gridSpan w:val="3"/>
          </w:tcPr>
          <w:p>
            <w:pPr>
              <w:jc w:val="right"/>
              <w:spacing w:after="0" w:line="79" w:lineRule="exact"/>
              <w:rPr>
                <w:sz w:val="20"/>
                <w:szCs w:val="20"/>
                <w:color w:val="auto"/>
              </w:rPr>
            </w:pPr>
            <w:r>
              <w:rPr>
                <w:rFonts w:ascii="Arial" w:cs="Arial" w:eastAsia="Arial" w:hAnsi="Arial"/>
                <w:sz w:val="8"/>
                <w:szCs w:val="8"/>
                <w:color w:val="auto"/>
                <w:w w:val="93"/>
              </w:rPr>
              <w:t>(20,580)</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color w:val="auto"/>
                <w:w w:val="92"/>
              </w:rPr>
              <w:t>(1,149,032)</w:t>
            </w:r>
          </w:p>
        </w:tc>
        <w:tc>
          <w:tcPr>
            <w:tcW w:w="120" w:type="dxa"/>
            <w:vAlign w:val="bottom"/>
          </w:tcPr>
          <w:p>
            <w:pPr>
              <w:spacing w:after="0"/>
              <w:rPr>
                <w:sz w:val="7"/>
                <w:szCs w:val="7"/>
                <w:color w:val="auto"/>
              </w:rPr>
            </w:pPr>
          </w:p>
        </w:tc>
        <w:tc>
          <w:tcPr>
            <w:tcW w:w="180" w:type="dxa"/>
            <w:vAlign w:val="bottom"/>
            <w:tcBorders>
              <w:top w:val="single" w:sz="8" w:color="auto"/>
              <w:bottom w:val="single" w:sz="8" w:color="auto"/>
            </w:tcBorders>
          </w:tcPr>
          <w:p>
            <w:pPr>
              <w:jc w:val="right"/>
              <w:ind w:right="78"/>
              <w:spacing w:after="0" w:line="79" w:lineRule="exact"/>
              <w:rPr>
                <w:sz w:val="20"/>
                <w:szCs w:val="20"/>
                <w:color w:val="auto"/>
              </w:rPr>
            </w:pPr>
            <w:r>
              <w:rPr>
                <w:rFonts w:ascii="Arial" w:cs="Arial" w:eastAsia="Arial" w:hAnsi="Arial"/>
                <w:sz w:val="8"/>
                <w:szCs w:val="8"/>
                <w:color w:val="auto"/>
                <w:w w:val="88"/>
              </w:rPr>
              <w:t>$</w:t>
            </w:r>
          </w:p>
        </w:tc>
        <w:tc>
          <w:tcPr>
            <w:tcW w:w="1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(7,785)</w:t>
            </w:r>
          </w:p>
        </w:tc>
        <w:tc>
          <w:tcPr>
            <w:tcW w:w="140" w:type="dxa"/>
            <w:vAlign w:val="bottom"/>
          </w:tcPr>
          <w:p>
            <w:pPr>
              <w:spacing w:after="0"/>
              <w:rPr>
                <w:sz w:val="7"/>
                <w:szCs w:val="7"/>
                <w:color w:val="auto"/>
              </w:rPr>
            </w:pPr>
          </w:p>
        </w:tc>
        <w:tc>
          <w:tcPr>
            <w:tcW w:w="1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color w:val="auto"/>
              </w:rPr>
              <w:t>(1,156,817)</w:t>
            </w:r>
          </w:p>
        </w:tc>
        <w:tc>
          <w:tcPr>
            <w:tcW w:w="20" w:type="dxa"/>
            <w:vAlign w:val="bottom"/>
          </w:tcPr>
          <w:p>
            <w:pPr>
              <w:spacing w:after="0"/>
              <w:rPr>
                <w:sz w:val="7"/>
                <w:szCs w:val="7"/>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 w:name="page7"/>
    <w:bookmarkEnd w:id="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0"/>
                <w:szCs w:val="10"/>
                <w:b w:val="1"/>
                <w:bCs w:val="1"/>
                <w:color w:val="auto"/>
                <w:w w:val="96"/>
              </w:rPr>
              <w:t>For the nine months ended April 30,</w:t>
            </w:r>
          </w:p>
        </w:tc>
      </w:tr>
      <w:tr>
        <w:trPr>
          <w:trHeight w:val="88"/>
        </w:trPr>
        <w:tc>
          <w:tcPr>
            <w:tcW w:w="66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81"/>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80"/>
              <w:spacing w:after="0" w:line="88" w:lineRule="exact"/>
              <w:rPr>
                <w:sz w:val="20"/>
                <w:szCs w:val="20"/>
                <w:color w:val="auto"/>
              </w:rPr>
            </w:pPr>
            <w:r>
              <w:rPr>
                <w:rFonts w:ascii="Arial" w:cs="Arial" w:eastAsia="Arial" w:hAnsi="Arial"/>
                <w:sz w:val="10"/>
                <w:szCs w:val="10"/>
                <w:b w:val="1"/>
                <w:bCs w:val="1"/>
                <w:color w:val="auto"/>
              </w:rPr>
              <w:t>2020</w:t>
            </w:r>
          </w:p>
        </w:tc>
      </w:tr>
      <w:tr>
        <w:trPr>
          <w:trHeight w:val="133"/>
        </w:trPr>
        <w:tc>
          <w:tcPr>
            <w:tcW w:w="66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Net loss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(49,897)</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(12,397)</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Reconciliation of net loss to net cash provided by operating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00" w:type="dxa"/>
            <w:vAlign w:val="bottom"/>
          </w:tcPr>
          <w:p>
            <w:pPr>
              <w:ind w:left="140"/>
              <w:spacing w:after="0"/>
              <w:rPr>
                <w:sz w:val="20"/>
                <w:szCs w:val="20"/>
                <w:color w:val="auto"/>
              </w:rPr>
            </w:pPr>
            <w:r>
              <w:rPr>
                <w:rFonts w:ascii="Arial" w:cs="Arial" w:eastAsia="Arial" w:hAnsi="Arial"/>
                <w:sz w:val="12"/>
                <w:szCs w:val="12"/>
                <w:color w:val="auto"/>
              </w:rPr>
              <w:t>Depreciation and amortization expense</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63,920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59,380</w:t>
            </w:r>
          </w:p>
        </w:tc>
      </w:tr>
      <w:tr>
        <w:trPr>
          <w:trHeight w:val="144"/>
        </w:trPr>
        <w:tc>
          <w:tcPr>
            <w:tcW w:w="6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Non-cash employee stock ownership plan compensation charge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w:t>
            </w:r>
          </w:p>
        </w:tc>
      </w:tr>
      <w:tr>
        <w:trPr>
          <w:trHeight w:val="144"/>
        </w:trPr>
        <w:tc>
          <w:tcPr>
            <w:tcW w:w="6600" w:type="dxa"/>
            <w:vAlign w:val="bottom"/>
          </w:tcPr>
          <w:p>
            <w:pPr>
              <w:ind w:left="140"/>
              <w:spacing w:after="0"/>
              <w:rPr>
                <w:sz w:val="20"/>
                <w:szCs w:val="20"/>
                <w:color w:val="auto"/>
              </w:rPr>
            </w:pPr>
            <w:r>
              <w:rPr>
                <w:rFonts w:ascii="Arial" w:cs="Arial" w:eastAsia="Arial" w:hAnsi="Arial"/>
                <w:sz w:val="12"/>
                <w:szCs w:val="12"/>
                <w:color w:val="auto"/>
              </w:rPr>
              <w:t>Loss on asset sales and disposals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2,238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6,242</w:t>
            </w:r>
          </w:p>
        </w:tc>
      </w:tr>
      <w:tr>
        <w:trPr>
          <w:trHeight w:val="144"/>
        </w:trPr>
        <w:tc>
          <w:tcPr>
            <w:tcW w:w="6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on extinguishment of debt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109,922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r>
      <w:tr>
        <w:trPr>
          <w:trHeight w:val="144"/>
        </w:trPr>
        <w:tc>
          <w:tcPr>
            <w:tcW w:w="6600" w:type="dxa"/>
            <w:vAlign w:val="bottom"/>
          </w:tcPr>
          <w:p>
            <w:pPr>
              <w:ind w:left="140"/>
              <w:spacing w:after="0"/>
              <w:rPr>
                <w:sz w:val="20"/>
                <w:szCs w:val="20"/>
                <w:color w:val="auto"/>
              </w:rPr>
            </w:pPr>
            <w:r>
              <w:rPr>
                <w:rFonts w:ascii="Arial" w:cs="Arial" w:eastAsia="Arial" w:hAnsi="Arial"/>
                <w:sz w:val="12"/>
                <w:szCs w:val="12"/>
                <w:color w:val="auto"/>
              </w:rPr>
              <w:t>Provision for expected credit losses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3,479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1,586</w:t>
            </w:r>
          </w:p>
        </w:tc>
      </w:tr>
      <w:tr>
        <w:trPr>
          <w:trHeight w:val="144"/>
        </w:trPr>
        <w:tc>
          <w:tcPr>
            <w:tcW w:w="6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 expense</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r>
      <w:tr>
        <w:trPr>
          <w:trHeight w:val="144"/>
        </w:trPr>
        <w:tc>
          <w:tcPr>
            <w:tcW w:w="6600" w:type="dxa"/>
            <w:vAlign w:val="bottom"/>
          </w:tcPr>
          <w:p>
            <w:pPr>
              <w:ind w:left="140"/>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6,524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9,837</w:t>
            </w:r>
          </w:p>
        </w:tc>
      </w:tr>
      <w:tr>
        <w:trPr>
          <w:trHeight w:val="144"/>
        </w:trPr>
        <w:tc>
          <w:tcPr>
            <w:tcW w:w="6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Changes in operating assets and liabilities, net of effects from business acquisitions: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00" w:type="dxa"/>
            <w:vAlign w:val="bottom"/>
          </w:tcPr>
          <w:p>
            <w:pPr>
              <w:ind w:left="220"/>
              <w:spacing w:after="0"/>
              <w:rPr>
                <w:sz w:val="20"/>
                <w:szCs w:val="20"/>
                <w:color w:val="auto"/>
              </w:rPr>
            </w:pPr>
            <w:r>
              <w:rPr>
                <w:rFonts w:ascii="Arial" w:cs="Arial" w:eastAsia="Arial" w:hAnsi="Arial"/>
                <w:sz w:val="12"/>
                <w:szCs w:val="12"/>
                <w:color w:val="auto"/>
              </w:rPr>
              <w:t>Accounts and notes receivable, net of securitization</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(72,557)</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(26,942)</w:t>
            </w:r>
          </w:p>
        </w:tc>
      </w:tr>
      <w:tr>
        <w:trPr>
          <w:trHeight w:val="144"/>
        </w:trPr>
        <w:tc>
          <w:tcPr>
            <w:tcW w:w="6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Inventories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15,245</w:t>
            </w:r>
          </w:p>
        </w:tc>
      </w:tr>
      <w:tr>
        <w:trPr>
          <w:trHeight w:val="144"/>
        </w:trPr>
        <w:tc>
          <w:tcPr>
            <w:tcW w:w="660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(11,273)</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(6,634)</w:t>
            </w:r>
          </w:p>
        </w:tc>
      </w:tr>
      <w:tr>
        <w:trPr>
          <w:trHeight w:val="144"/>
        </w:trPr>
        <w:tc>
          <w:tcPr>
            <w:tcW w:w="6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4,236</w:t>
            </w:r>
          </w:p>
        </w:tc>
      </w:tr>
      <w:tr>
        <w:trPr>
          <w:trHeight w:val="144"/>
        </w:trPr>
        <w:tc>
          <w:tcPr>
            <w:tcW w:w="6600" w:type="dxa"/>
            <w:vAlign w:val="bottom"/>
          </w:tcPr>
          <w:p>
            <w:pPr>
              <w:ind w:left="220"/>
              <w:spacing w:after="0"/>
              <w:rPr>
                <w:sz w:val="20"/>
                <w:szCs w:val="20"/>
                <w:color w:val="auto"/>
              </w:rPr>
            </w:pPr>
            <w:r>
              <w:rPr>
                <w:rFonts w:ascii="Arial" w:cs="Arial" w:eastAsia="Arial" w:hAnsi="Arial"/>
                <w:sz w:val="12"/>
                <w:szCs w:val="12"/>
                <w:color w:val="auto"/>
              </w:rPr>
              <w:t>Accrued interest expense</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(12,986)</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32,708</w:t>
            </w:r>
          </w:p>
        </w:tc>
      </w:tr>
      <w:tr>
        <w:trPr>
          <w:trHeight w:val="144"/>
        </w:trPr>
        <w:tc>
          <w:tcPr>
            <w:tcW w:w="66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liabilities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(7,949)</w:t>
            </w:r>
          </w:p>
        </w:tc>
      </w:tr>
      <w:tr>
        <w:trPr>
          <w:trHeight w:val="144"/>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assets and liabilities</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r>
      <w:tr>
        <w:trPr>
          <w:trHeight w:val="133"/>
        </w:trPr>
        <w:tc>
          <w:tcPr>
            <w:tcW w:w="660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102,956</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115,810</w:t>
            </w:r>
          </w:p>
        </w:tc>
      </w:tr>
      <w:tr>
        <w:trPr>
          <w:trHeight w:val="133"/>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4"/>
        </w:trPr>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Business acquisitions, net of cash acquired</w:t>
            </w:r>
          </w:p>
        </w:tc>
        <w:tc>
          <w:tcPr>
            <w:tcW w:w="2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(6,400)</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 expenditures</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(50,470)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(57,251)</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Proceeds from sale of assets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3,707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2,510</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payments to construct assets in connection with future lease transactions</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(603)</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(37,042)</w:t>
            </w:r>
          </w:p>
        </w:tc>
      </w:tr>
      <w:tr>
        <w:trPr>
          <w:trHeight w:val="144"/>
        </w:trPr>
        <w:tc>
          <w:tcPr>
            <w:tcW w:w="66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Cash receipts in connection with leased vehicles</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21,995</w:t>
            </w:r>
          </w:p>
        </w:tc>
      </w:tr>
      <w:tr>
        <w:trPr>
          <w:trHeight w:val="133"/>
        </w:trPr>
        <w:tc>
          <w:tcPr>
            <w:tcW w:w="660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used in investing activities</w:t>
            </w: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(46,975)</w:t>
            </w: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(76,188)</w:t>
            </w:r>
          </w:p>
        </w:tc>
      </w:tr>
      <w:tr>
        <w:trPr>
          <w:trHeight w:val="133"/>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4"/>
        </w:trPr>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Proceeds from sale of preferred units, net of issue discount and offering cost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670,429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Fees in connection with Class B unit exchange</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(1,954)</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Proceeds from issuance of long-term debt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1,475,000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703,750</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Payments on long-term debt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(1,540)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(1,422)</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Payment for settlement and early extinguishment of liabilities</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(2,175,000)</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(283,863)</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reductions in short-term borrowings</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(43,000)</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Net reductions in collateralized short-term borrowings</w:t>
            </w:r>
          </w:p>
        </w:tc>
        <w:tc>
          <w:tcPr>
            <w:tcW w:w="2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(62,000)</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 of redemption premium on debt extinguishment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(85,026)</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(17,516)</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Cash paid for financing costs</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(43,520)</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(26,676)</w:t>
            </w:r>
          </w:p>
        </w:tc>
      </w:tr>
      <w:tr>
        <w:trPr>
          <w:trHeight w:val="144"/>
        </w:trPr>
        <w:tc>
          <w:tcPr>
            <w:tcW w:w="660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Noncontrolling interest activity</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r>
      <w:tr>
        <w:trPr>
          <w:trHeight w:val="144"/>
        </w:trPr>
        <w:tc>
          <w:tcPr>
            <w:tcW w:w="6600" w:type="dxa"/>
            <w:vAlign w:val="bottom"/>
          </w:tcPr>
          <w:p>
            <w:pPr>
              <w:ind w:left="80"/>
              <w:spacing w:after="0"/>
              <w:rPr>
                <w:sz w:val="20"/>
                <w:szCs w:val="20"/>
                <w:color w:val="auto"/>
              </w:rPr>
            </w:pPr>
            <w:r>
              <w:rPr>
                <w:rFonts w:ascii="Arial" w:cs="Arial" w:eastAsia="Arial" w:hAnsi="Arial"/>
                <w:sz w:val="12"/>
                <w:szCs w:val="12"/>
                <w:color w:val="auto"/>
              </w:rPr>
              <w:t>Cash payments for principal portion of lease liability</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(5,282)</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(944)</w:t>
            </w:r>
          </w:p>
        </w:tc>
      </w:tr>
      <w:tr>
        <w:trPr>
          <w:trHeight w:val="133"/>
        </w:trPr>
        <w:tc>
          <w:tcPr>
            <w:tcW w:w="6600" w:type="dxa"/>
            <w:vAlign w:val="bottom"/>
            <w:tcBorders>
              <w:top w:val="single" w:sz="8" w:color="CCEEFF"/>
            </w:tcBorders>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(166,893)</w:t>
            </w:r>
          </w:p>
        </w:tc>
        <w:tc>
          <w:tcPr>
            <w:tcW w:w="2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268,171</w:t>
            </w:r>
          </w:p>
        </w:tc>
      </w:tr>
      <w:tr>
        <w:trPr>
          <w:trHeight w:val="133"/>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4"/>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 and cash equivalents</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(110,912)</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307,793</w:t>
            </w:r>
          </w:p>
        </w:tc>
      </w:tr>
      <w:tr>
        <w:trPr>
          <w:trHeight w:val="133"/>
        </w:trPr>
        <w:tc>
          <w:tcPr>
            <w:tcW w:w="66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Cash and cash equivalents - beginning of period</w:t>
            </w:r>
          </w:p>
        </w:tc>
        <w:tc>
          <w:tcPr>
            <w:tcW w:w="2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333,761</w:t>
            </w:r>
          </w:p>
        </w:tc>
        <w:tc>
          <w:tcPr>
            <w:tcW w:w="2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11,054</w:t>
            </w:r>
          </w:p>
        </w:tc>
      </w:tr>
      <w:tr>
        <w:trPr>
          <w:trHeight w:val="140"/>
        </w:trPr>
        <w:tc>
          <w:tcPr>
            <w:tcW w:w="66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cash equivalents and restricted cash - end of period</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222,849</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318,847</w:t>
            </w:r>
          </w:p>
        </w:tc>
      </w:tr>
    </w:tbl>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 w:name="page8"/>
    <w:bookmarkEnd w:id="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 except per unit data, unless otherwise designated)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ind w:left="260" w:hanging="238"/>
        <w:spacing w:after="0"/>
        <w:tabs>
          <w:tab w:leader="none" w:pos="26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Partnership organization and formation</w:t>
      </w:r>
    </w:p>
    <w:p>
      <w:pPr>
        <w:spacing w:after="0" w:line="154" w:lineRule="exact"/>
        <w:rPr>
          <w:sz w:val="20"/>
          <w:szCs w:val="20"/>
          <w:color w:val="auto"/>
        </w:rPr>
      </w:pPr>
    </w:p>
    <w:p>
      <w:pPr>
        <w:ind w:left="20" w:right="259"/>
        <w:spacing w:after="0" w:line="289" w:lineRule="auto"/>
        <w:rPr>
          <w:sz w:val="20"/>
          <w:szCs w:val="20"/>
          <w:color w:val="auto"/>
        </w:rPr>
      </w:pPr>
      <w:r>
        <w:rPr>
          <w:rFonts w:ascii="Arial" w:cs="Arial" w:eastAsia="Arial" w:hAnsi="Arial"/>
          <w:sz w:val="11"/>
          <w:szCs w:val="11"/>
          <w:color w:val="auto"/>
        </w:rPr>
        <w:t>Ferrellgas Partners, L.P. (“Ferrellgas Partners”) was formed on April 19, 1994, and is a publicly traded limited partnership, owning an approximate 99% limited partner interest in Ferrellgas, L.P. (the “operating partnership”). Ferrellgas Partners and the operating partnership, collectively referred to as “Ferrellgas,” are both Delaware limited partnerships and are governed by their respective partnership agreements. Ferrellgas Partners was formed to acquire and hold a limited partner interest in the operating partnership. As of April 30, 2021, Ferrell Companies, Inc., a Kansas corporation (“Ferrell Companies”), beneficially owns 1.1 million of Ferrellgas Partners’ outstanding Class A units.</w:t>
      </w:r>
    </w:p>
    <w:p>
      <w:pPr>
        <w:spacing w:after="0" w:line="111"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Ferrellgas, Inc. (the “general partner”), a Delaware corporation and a wholly-owned subsidiary of Ferrell Companies, has retained an approximate 1% general partner economic interest in Ferrellgas Partners and also holds an approximate 1% general partner economic interest in the operating partnership, representing an effective 2% general partner economic interest in Ferrellgas on a combined basis. As the sole general partner of Ferrellgas Partners, Ferrellgas, Inc. performs all management functions required by Ferrellgas Partners. Unless contractually provided for, creditors of the operating partnership have no recourse with regards to Ferrellgas Partners.</w:t>
      </w:r>
    </w:p>
    <w:p>
      <w:pPr>
        <w:spacing w:after="0" w:line="124"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Ferrellgas Partners is a holding entity that conducts no operations and has two subsidiaries, Ferrellgas Partners Finance Corp. and the operating partnership. Ferrellgas Partners owns a 100% equity interest in Ferrellgas Partners Finance Corp., whose only business activity is to act as the co-issuer and co-obligor of any debt issued by Ferrellgas Partners. The operating partnership is the only operating subsidiary of Ferrellgas Partners.</w:t>
      </w:r>
    </w:p>
    <w:p>
      <w:pPr>
        <w:spacing w:after="0" w:line="122"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Ferrellgas is primarily engaged in the retail distribution of propane and related equipment sales.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spacing w:after="0" w:line="122" w:lineRule="exact"/>
        <w:rPr>
          <w:sz w:val="20"/>
          <w:szCs w:val="20"/>
          <w:color w:val="auto"/>
        </w:rPr>
      </w:pPr>
    </w:p>
    <w:p>
      <w:pPr>
        <w:ind w:left="20" w:right="259"/>
        <w:spacing w:after="0" w:line="276" w:lineRule="auto"/>
        <w:rPr>
          <w:sz w:val="20"/>
          <w:szCs w:val="20"/>
          <w:color w:val="auto"/>
        </w:rPr>
      </w:pPr>
      <w:r>
        <w:rPr>
          <w:rFonts w:ascii="Arial" w:cs="Arial" w:eastAsia="Arial" w:hAnsi="Arial"/>
          <w:sz w:val="12"/>
          <w:szCs w:val="12"/>
          <w:color w:val="auto"/>
        </w:rPr>
        <w:t>Due to seasonality, the results of operations for the nine months ended April 30, 2021 are not necessarily indicative of the results to be expected for the full fiscal year ending July 31, 2021.</w:t>
      </w:r>
    </w:p>
    <w:p>
      <w:pPr>
        <w:spacing w:after="0" w:line="115"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The condensed consolidated financial statements of Ferrellgas reflect all adjustments that are, in the opinion of management, necessary for a fair presentation of the interim periods presented. All adjustments to the condensed consolidated financial statements were of a normal recurring nature. The information included in this Quarterly Report on Form 10-Q should be read in conjunction with (i) the section entitled “Management’s Discussion and Analysis of Financial Condition and Results of Operations” and (ii) the consolidated financial statements and accompanying notes included in Ferrellgas’ Annual Report on Form 10-K for fiscal 2020.</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Chapter 11 Bankruptcy Cases</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 xml:space="preserve">As previously reported, on January 11, 2021, Ferrellgas Partners and Ferrellgas Partners Finance Corp. filed voluntary petitions for relief under chapter 11 of title 11 of the United States Code in the United States Bankruptcy Court for the District of Delaware (the “Bankruptcy Court”). The chapter 11 cases were jointly administered under the caption and case numbers,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re: Ferrellgas Partners, L.P. and Ferrellgas Partners Finance Corp.</w:t>
      </w:r>
      <w:r>
        <w:rPr>
          <w:rFonts w:ascii="Arial" w:cs="Arial" w:eastAsia="Arial" w:hAnsi="Arial"/>
          <w:sz w:val="12"/>
          <w:szCs w:val="12"/>
          <w:color w:val="auto"/>
        </w:rPr>
        <w:t>, Chapter 11 Case Nos. 21-10020 and 21-10021.</w:t>
      </w:r>
    </w:p>
    <w:p>
      <w:pPr>
        <w:spacing w:after="0" w:line="122"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 xml:space="preserve">On March 5, 2021, the Bankruptcy Court entered an order (the “Confirmation Order”) confirming the </w:t>
      </w:r>
      <w:r>
        <w:rPr>
          <w:rFonts w:ascii="Arial" w:cs="Arial" w:eastAsia="Arial" w:hAnsi="Arial"/>
          <w:sz w:val="12"/>
          <w:szCs w:val="12"/>
          <w:i w:val="1"/>
          <w:iCs w:val="1"/>
          <w:color w:val="auto"/>
        </w:rPr>
        <w:t>Second Amended Prepackaged Joint Chapter 11 Plan of Reorganization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Ferrellgas Partners, L.P. and Ferrellgas Partners Finance Corp. </w:t>
      </w:r>
      <w:r>
        <w:rPr>
          <w:rFonts w:ascii="Arial" w:cs="Arial" w:eastAsia="Arial" w:hAnsi="Arial"/>
          <w:sz w:val="12"/>
          <w:szCs w:val="12"/>
          <w:color w:val="auto"/>
        </w:rPr>
        <w:t>(the “Plan”).</w:t>
      </w:r>
    </w:p>
    <w:p>
      <w:pPr>
        <w:spacing w:after="0" w:line="115"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On March 30, 2021 (the “Effective Date”), the conditions to effectiveness of the Plan were satisfied and the Confirmation Order was deemed binding upon Ferrellgas Partners, Ferrellgas Partners Finance Corp. and all other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 w:name="page9"/>
    <w:bookmarkEnd w:id="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parties affected by the Plan. In satisfying the conditions of the Plan, on the Effective Date, certain restructuring transactions by Ferrellgas Partners and certain financing transactions by the operating partnership were completed, as further described under “–Transactions” below.</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Ferrellgas has accounted for the effects of the reorganization and determined that fresh-start accounting does not need to be applied, as a change in control did not occur.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Transactions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Satisfaction of Ferrellgas Partners Notes; Issuance of Class B Units to Holders of Ferrellgas Partners Notes</w:t>
      </w:r>
    </w:p>
    <w:p>
      <w:pPr>
        <w:spacing w:after="0" w:line="150"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On the Effective Date, by operation of the Plan, all outstanding indebtedness (including accrued interest) of Ferrellgas Partners and Ferrellgas Partners Finance Corp. under their $357.0 million aggregate principal amount of 8.625% senior unsecured notes due June 2020 (the “Ferrellgas Partners Notes”), as described further in Note F –Debt, were discharged and cancelled.</w:t>
      </w:r>
    </w:p>
    <w:p>
      <w:pPr>
        <w:spacing w:after="0" w:line="122" w:lineRule="exact"/>
        <w:rPr>
          <w:sz w:val="20"/>
          <w:szCs w:val="20"/>
          <w:color w:val="auto"/>
        </w:rPr>
      </w:pPr>
    </w:p>
    <w:p>
      <w:pPr>
        <w:ind w:left="20" w:right="439"/>
        <w:spacing w:after="0" w:line="276" w:lineRule="auto"/>
        <w:rPr>
          <w:sz w:val="20"/>
          <w:szCs w:val="20"/>
          <w:color w:val="auto"/>
        </w:rPr>
      </w:pPr>
      <w:r>
        <w:rPr>
          <w:rFonts w:ascii="Arial" w:cs="Arial" w:eastAsia="Arial" w:hAnsi="Arial"/>
          <w:sz w:val="12"/>
          <w:szCs w:val="12"/>
          <w:color w:val="auto"/>
        </w:rPr>
        <w:t>Pursuant to the Plan, Ferrellgas Partners issued an aggregate of 1.3 million Class B Units to holders of the Ferrellgas Partners Notes in satisfaction of their claims in respect of the Ferrellgas Partners Notes. See Note H – Equity for additional discussion.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Preferred Units of the Operating Partnership</w:t>
      </w:r>
    </w:p>
    <w:p>
      <w:pPr>
        <w:spacing w:after="0" w:line="150"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On the Effective Date, the operating partnership and the general partner (in its capacity as the general partner of operating partnership) entered into an Investment Agreement (the “Investment Agreement”) with certain purchasers named therein, pursuant to which, on the Effective Date, the operating partnership issued and sold to such purchasers an aggregate of 700,000 Senior Preferred Units (the “Preferred Units”), having an aggregate initial liquidation preference of $700.0 million. The purchase price per Preferred Unit was $1,000 less a 3.0% purchase price discount, for an aggregate purchase price of $679.0 million.</w:t>
      </w:r>
    </w:p>
    <w:p>
      <w:pPr>
        <w:spacing w:after="0" w:line="124"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operating partnership received net proceeds from the issuance and sale of the Preferred Units of approximately $651.8 million, after deducting the purchase price discount and certain expenses. The operating partnership used such net proceeds, together with the net proceeds of the issuance and sale of the 2026 Notes and the 2029 Notes (as defined and described below) and cash on hand, (i) to redeem (or satisfy and discharge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G – Preferred units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Senior Unsecured Notes of the Operating Partnership</w:t>
      </w:r>
    </w:p>
    <w:p>
      <w:pPr>
        <w:spacing w:after="0" w:line="150"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On the Effective Date, two wholly-owned subsidiaries of the operating partnership (the “Escrow Issuers”) issued $650.0 million aggregate principal amount of 5.375% senior notes due 2026 (the “2026 Notes”) and $825.0 million aggregate principal amount of 5.875% senior notes due 2029 (the “2029 Notes”), in each case, at an offering price equal to 100% of the principal amount thereof. On the Effective Date and immediately after the issuance of the 2026 Notes and the 2029 Notes by the Escrow Issuers, (i) the Escrow Issuers were merged into the operating partnership and Ferrellgas Finance Corp., respectively, and the operating partnership and Ferrellgas Finance Corp. assumed the obligations of the Escrow Issuers as co-issuers of the 2026 Notes and the 2029 Notes, and (ii) the general partner and certain subsidiaries of the operating partnership guaranteed the 2026 Notes and the 2029 Notes.</w:t>
      </w:r>
    </w:p>
    <w:p>
      <w:pPr>
        <w:spacing w:after="0" w:line="113"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The operating partnership received aggregate net proceeds from the issuance and sale of the 2026 Notes and the 2029 Notes of approximately $1,446.5 million, after deducting the initial purchaser’s discount and offering expenses. The operating partnership used such net proceeds, together with the net proceeds of the issuance and sale of the Preferred Units and cash on hand, (i) to redeem (or satisfy and discharge the indentures governing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F – Debt for additional discussion.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 w:name="page10"/>
    <w:bookmarkEnd w:id="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Redemption of Previously Issued Senior Notes of the Operating Partnership</w:t>
      </w:r>
    </w:p>
    <w:p>
      <w:pPr>
        <w:spacing w:after="0" w:line="150"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Prior to the Effective Date, the operating partnership delivered notices of redemption of all its previously issued and outstanding 10.00% senior secured notes due 2025 (the “2025 Notes”), 6.50% senior unsecured notes due 2021 (the “2021 Notes”), 6.75% senior unsecured notes due 2022 (the “2022 Notes”) and 6.75% senior unsecured notes due 2023 (the “2023 Notes”), in the aggregate combined principal amount for all such notes of $2,175.0 million, pursuant the terms of the indentures governing those notes, with a redemption date of March 30, 2021 for the 2025 Notes and April 5, 2021 for the 2021 Notes, the 2022 Notes and the 2023 Notes.</w:t>
      </w:r>
    </w:p>
    <w:p>
      <w:pPr>
        <w:spacing w:after="0" w:line="124" w:lineRule="exact"/>
        <w:rPr>
          <w:sz w:val="20"/>
          <w:szCs w:val="20"/>
          <w:color w:val="auto"/>
        </w:rPr>
      </w:pPr>
    </w:p>
    <w:p>
      <w:pPr>
        <w:ind w:left="20" w:right="59"/>
        <w:spacing w:after="0" w:line="285" w:lineRule="auto"/>
        <w:rPr>
          <w:sz w:val="20"/>
          <w:szCs w:val="20"/>
          <w:color w:val="auto"/>
        </w:rPr>
      </w:pPr>
      <w:r>
        <w:rPr>
          <w:rFonts w:ascii="Arial" w:cs="Arial" w:eastAsia="Arial" w:hAnsi="Arial"/>
          <w:sz w:val="11"/>
          <w:szCs w:val="11"/>
          <w:color w:val="auto"/>
        </w:rPr>
        <w:t>On the Effective Date, the operating partnership redeemed all of the issued and outstanding 2025 Notes. Also on the Effective Date, the operating partnership (i) satisfied and discharged the indentures governing the 2021 Notes, the 2022 Notes and the 2023 Notes by irrevocably depositing with the applicable trustees under such indentures funds in an amount sufficient to pay the redemption price for all of such notes on April 5, 2021 and (ii) delivered irrevocable instructions directing the applicable trustees to apply such funds to the redemption of such notes on April 5, 2021. As a result, as of the Effective Date, the indentures governing the 2021 Notes, the 2022 Notes and the 2023 Notes ceased to be of further effect (except as to certain expressly surviving rights), and all of the issued and outstanding 2021 Notes, 2022 Notes and 2023 Notes were redeemed on April 5, 2021.</w:t>
      </w:r>
    </w:p>
    <w:p>
      <w:pPr>
        <w:spacing w:after="0" w:line="113"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The aggregate redemption price for the 2021 Notes, the 2022 Notes, the 2023 Notes and the 2025 Notes was approximately $2,320.9 million, consisting of principal, redemption premium (in the case of the 2023 Notes and the 2025 Notes) and accrued and unpaid interest to the applicable redemption date. See Note F – Debt for additional discussion.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Credit Agreement</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On the Effective Date, the operating partnership, the general partner and certain of the operating partnership’s subsidiaries entered into a Credit Agreement, which provides for a four-year revolving credit facility in an aggregate principal amount of up to $350.0 million, including a sublimit not to exceed $225.0 million for the issuance of letters of credit for a period of 60 days after March 30, 2021, reducing to $200.0 million thereafter. See Note F – Debt for additional discussion.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Termination of Accounts Receivable Securitization Facility</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On the Effective Date, the operating partnership and its receivables subsidiary repaid all of the outstanding obligations and fees under the then-existing accounts receivable securitization facility and terminated that facility. See Note E – Accounts and notes receivable, net for additional discussion.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Amended Partnership Agreements of Ferrellgas Partners and the Operating Partnership</w:t>
      </w:r>
    </w:p>
    <w:p>
      <w:pPr>
        <w:spacing w:after="0" w:line="132"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On the Effective Date, the general partner executed the Sixth Amended and Restated Agreement of Limited Partnership of Ferrellgas Partners, L.P. (the “Amended Ferrellgas Partners LPA”), which amended and restated in its entirety the Fifth Amended and Restated Agreement of Limited Partnership of Ferrellgas Partners, L.P. Among other matters, the Amended Ferrellgas Partners LPA provided for the restructuring of Ferrellgas Partners in accordance with the Plan, including (i) effecting a reverse unit split of Ferrellgas Partners’ then-outstanding common units pursuant to which the holders of the common units received one Class A Unit for every twenty common units held, and (ii) providing for the issuance of Class B Units to the holders of the Ferrellgas Partners Notes in exchange for such holders’ contribution of the Ferrellgas Partners Notes as a capital contribution to Ferrellgas Partners and in satisfaction of such holders’ claims in respect of the Ferrellgas Partners Notes. See Note H – Equity for additional discussion.</w:t>
      </w:r>
    </w:p>
    <w:p>
      <w:pPr>
        <w:spacing w:after="0" w:line="86"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Also on the Effective Date, the general partner executed (i) the Fifth Amended and Restated Agreement of Limited Partnership of Ferrellgas, L.P. (the “Amended OpCo LPA”), which amended and restated in its entirety the Fourth Amended and Restated Agreement of Limited Partnership of Ferrellgas L.P., and (ii) a First Amendment to the Amended OpCo LPA (the “OpCo LPA First Amendment”), which sets forth the preferences, rights, privileges and other terms of the Preferred Units.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 w:name="page11"/>
    <w:bookmarkEnd w:id="1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Summary of significant accounting policies</w:t>
      </w:r>
    </w:p>
    <w:p>
      <w:pPr>
        <w:spacing w:after="0" w:line="150" w:lineRule="exact"/>
        <w:rPr>
          <w:sz w:val="20"/>
          <w:szCs w:val="20"/>
          <w:color w:val="auto"/>
        </w:rPr>
      </w:pPr>
    </w:p>
    <w:p>
      <w:pPr>
        <w:ind w:left="20" w:right="99" w:firstLine="2"/>
        <w:spacing w:after="0" w:line="281" w:lineRule="auto"/>
        <w:tabs>
          <w:tab w:leader="none" w:pos="190" w:val="left"/>
        </w:tabs>
        <w:numPr>
          <w:ilvl w:val="0"/>
          <w:numId w:val="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Accounting estimates: </w:t>
      </w:r>
      <w:r>
        <w:rPr>
          <w:rFonts w:ascii="Arial" w:cs="Arial" w:eastAsia="Arial" w:hAnsi="Arial"/>
          <w:sz w:val="11"/>
          <w:szCs w:val="11"/>
          <w:color w:val="auto"/>
        </w:rPr>
        <w:t>The preparation of financial statements in conformity with accounting principles generally accepted in the United States of America (“GAAP”) requires</w:t>
      </w:r>
      <w:r>
        <w:rPr>
          <w:rFonts w:ascii="Arial" w:cs="Arial" w:eastAsia="Arial" w:hAnsi="Arial"/>
          <w:sz w:val="11"/>
          <w:szCs w:val="11"/>
          <w:b w:val="1"/>
          <w:bCs w:val="1"/>
          <w:color w:val="auto"/>
        </w:rPr>
        <w:t xml:space="preserve"> </w:t>
      </w:r>
      <w:r>
        <w:rPr>
          <w:rFonts w:ascii="Arial" w:cs="Arial" w:eastAsia="Arial" w:hAnsi="Arial"/>
          <w:sz w:val="11"/>
          <w:szCs w:val="11"/>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condensed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units, fair value of Class B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Update to accounting estimates:</w:t>
      </w:r>
    </w:p>
    <w:p>
      <w:pPr>
        <w:spacing w:after="0" w:line="154"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 xml:space="preserve">On August 1, 2020 Ferrellgas adopted Accounting Standards Update (“ASU”) 2016-13, </w:t>
      </w:r>
      <w:r>
        <w:rPr>
          <w:rFonts w:ascii="Arial" w:cs="Arial" w:eastAsia="Arial" w:hAnsi="Arial"/>
          <w:sz w:val="12"/>
          <w:szCs w:val="12"/>
          <w:i w:val="1"/>
          <w:iCs w:val="1"/>
          <w:color w:val="auto"/>
        </w:rPr>
        <w:t>Financial Instruments – Credit Losses (Topic 326)</w:t>
      </w:r>
      <w:r>
        <w:rPr>
          <w:rFonts w:ascii="Arial" w:cs="Arial" w:eastAsia="Arial" w:hAnsi="Arial"/>
          <w:sz w:val="12"/>
          <w:szCs w:val="12"/>
          <w:color w:val="auto"/>
        </w:rPr>
        <w:t>. As a result, we updated our significant accounting policies for the measurement of expected credit losses below.</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Allowance for expected credit losses</w:t>
      </w:r>
    </w:p>
    <w:p>
      <w:pPr>
        <w:spacing w:after="0" w:line="150"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Ferrellgas closely monitors accounts receivable balances and estimates the allowance for expected credit losses. The estimate is primarily based on historical collection experience and other factors, including those related to current market conditions and events. The expected credit losses associated with accounts receivable have not historically been material and the adoption impact on Ferrellgas’ allowance for expected credit losses was immaterial as of April 30, 2021.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(2) New accounting standards: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FASB Accounting Standard Update No. 2016-13</w:t>
      </w:r>
    </w:p>
    <w:p>
      <w:pPr>
        <w:spacing w:after="0" w:line="154" w:lineRule="exact"/>
        <w:rPr>
          <w:sz w:val="20"/>
          <w:szCs w:val="20"/>
          <w:color w:val="auto"/>
        </w:rPr>
      </w:pPr>
    </w:p>
    <w:p>
      <w:pPr>
        <w:jc w:val="both"/>
        <w:ind w:left="20" w:right="119"/>
        <w:spacing w:after="0" w:line="289"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Financial Instruments - Credit Losses (Topic 326),</w:t>
      </w:r>
      <w:r>
        <w:rPr>
          <w:rFonts w:ascii="Arial" w:cs="Arial" w:eastAsia="Arial" w:hAnsi="Arial"/>
          <w:sz w:val="11"/>
          <w:szCs w:val="11"/>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adopted the amended guidance effective August 1, 2020. The adoption of this standard did not have a material impact on the condensed consolidated financial statements.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1" w:name="page12"/>
    <w:bookmarkEnd w:id="1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60" w:hanging="138"/>
        <w:spacing w:after="0"/>
        <w:tabs>
          <w:tab w:leader="none" w:pos="160"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Leases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the operating and financing ROU assets and lease liabilities as of April 30, 2021 and July 31, 2020:</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Leases</w:t>
            </w:r>
          </w:p>
        </w:tc>
        <w:tc>
          <w:tcPr>
            <w:tcW w:w="1860" w:type="dxa"/>
            <w:vAlign w:val="bottom"/>
          </w:tcPr>
          <w:p>
            <w:pPr>
              <w:ind w:left="1000"/>
              <w:spacing w:after="0"/>
              <w:rPr>
                <w:sz w:val="20"/>
                <w:szCs w:val="20"/>
                <w:color w:val="auto"/>
              </w:rPr>
            </w:pPr>
            <w:r>
              <w:rPr>
                <w:rFonts w:ascii="Arial" w:cs="Arial" w:eastAsia="Arial" w:hAnsi="Arial"/>
                <w:sz w:val="10"/>
                <w:szCs w:val="10"/>
                <w:b w:val="1"/>
                <w:bCs w:val="1"/>
                <w:color w:val="auto"/>
              </w:rPr>
              <w:t>Classification</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jc w:val="right"/>
              <w:ind w:right="541"/>
              <w:spacing w:after="0"/>
              <w:rPr>
                <w:sz w:val="20"/>
                <w:szCs w:val="20"/>
                <w:color w:val="auto"/>
              </w:rPr>
            </w:pPr>
            <w:r>
              <w:rPr>
                <w:rFonts w:ascii="Arial" w:cs="Arial" w:eastAsia="Arial" w:hAnsi="Arial"/>
                <w:sz w:val="10"/>
                <w:szCs w:val="10"/>
                <w:b w:val="1"/>
                <w:bCs w:val="1"/>
                <w:color w:val="auto"/>
              </w:rPr>
              <w:t>April 30, 2021</w:t>
            </w:r>
          </w:p>
        </w:tc>
        <w:tc>
          <w:tcPr>
            <w:tcW w:w="220" w:type="dxa"/>
            <w:vAlign w:val="bottom"/>
          </w:tcPr>
          <w:p>
            <w:pPr>
              <w:spacing w:after="0"/>
              <w:rPr>
                <w:sz w:val="10"/>
                <w:szCs w:val="10"/>
                <w:color w:val="auto"/>
              </w:rPr>
            </w:pPr>
          </w:p>
        </w:tc>
        <w:tc>
          <w:tcPr>
            <w:tcW w:w="1760" w:type="dxa"/>
            <w:vAlign w:val="bottom"/>
          </w:tcPr>
          <w:p>
            <w:pPr>
              <w:jc w:val="right"/>
              <w:ind w:right="561"/>
              <w:spacing w:after="0"/>
              <w:rPr>
                <w:sz w:val="20"/>
                <w:szCs w:val="20"/>
                <w:color w:val="auto"/>
              </w:rPr>
            </w:pPr>
            <w:r>
              <w:rPr>
                <w:rFonts w:ascii="Arial" w:cs="Arial" w:eastAsia="Arial" w:hAnsi="Arial"/>
                <w:sz w:val="10"/>
                <w:szCs w:val="10"/>
                <w:b w:val="1"/>
                <w:bCs w:val="1"/>
                <w:color w:val="auto"/>
              </w:rPr>
              <w:t>July 31, 2020</w:t>
            </w:r>
          </w:p>
        </w:tc>
      </w:tr>
      <w:tr>
        <w:trPr>
          <w:trHeight w:val="133"/>
        </w:trPr>
        <w:tc>
          <w:tcPr>
            <w:tcW w:w="2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color w:val="auto"/>
              </w:rPr>
              <w:t>Operating lease assets</w:t>
            </w:r>
          </w:p>
        </w:tc>
        <w:tc>
          <w:tcPr>
            <w:tcW w:w="1860" w:type="dxa"/>
            <w:vAlign w:val="bottom"/>
          </w:tcPr>
          <w:p>
            <w:pPr>
              <w:spacing w:after="0"/>
              <w:rPr>
                <w:sz w:val="20"/>
                <w:szCs w:val="20"/>
                <w:color w:val="auto"/>
              </w:rPr>
            </w:pPr>
            <w:r>
              <w:rPr>
                <w:rFonts w:ascii="Arial" w:cs="Arial" w:eastAsia="Arial" w:hAnsi="Arial"/>
                <w:sz w:val="12"/>
                <w:szCs w:val="12"/>
                <w:color w:val="auto"/>
                <w:w w:val="98"/>
              </w:rPr>
              <w:t>Operating lease right-of-use assets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93,341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107,349</w:t>
            </w: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 lease assets</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36,747</w:t>
            </w:r>
          </w:p>
        </w:tc>
        <w:tc>
          <w:tcPr>
            <w:tcW w:w="220" w:type="dxa"/>
            <w:vAlign w:val="bottom"/>
            <w:shd w:val="clear" w:color="auto" w:fill="CCEEFF"/>
          </w:tcPr>
          <w:p>
            <w:pPr>
              <w:spacing w:after="0"/>
              <w:rPr>
                <w:sz w:val="12"/>
                <w:szCs w:val="1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41,426</w:t>
            </w:r>
          </w:p>
        </w:tc>
      </w:tr>
      <w:tr>
        <w:trPr>
          <w:trHeight w:val="140"/>
        </w:trPr>
        <w:tc>
          <w:tcPr>
            <w:tcW w:w="234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Total leased assets</w:t>
            </w:r>
          </w:p>
        </w:tc>
        <w:tc>
          <w:tcPr>
            <w:tcW w:w="18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130,088</w:t>
            </w:r>
          </w:p>
        </w:tc>
        <w:tc>
          <w:tcPr>
            <w:tcW w:w="220" w:type="dxa"/>
            <w:vAlign w:val="bottom"/>
            <w:tcBorders>
              <w:bottom w:val="single" w:sz="8" w:color="CCEEFF"/>
            </w:tcBorders>
          </w:tcPr>
          <w:p>
            <w:pPr>
              <w:jc w:val="right"/>
              <w:spacing w:after="0" w:line="133" w:lineRule="exact"/>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148,775</w:t>
            </w:r>
          </w:p>
        </w:tc>
      </w:tr>
      <w:tr>
        <w:trPr>
          <w:trHeight w:val="144"/>
        </w:trPr>
        <w:tc>
          <w:tcPr>
            <w:tcW w:w="2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Current</w:t>
            </w:r>
          </w:p>
        </w:tc>
        <w:tc>
          <w:tcPr>
            <w:tcW w:w="1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color w:val="auto"/>
              </w:rPr>
              <w:t>Operating</w:t>
            </w:r>
          </w:p>
        </w:tc>
        <w:tc>
          <w:tcPr>
            <w:tcW w:w="1860" w:type="dxa"/>
            <w:vAlign w:val="bottom"/>
          </w:tcPr>
          <w:p>
            <w:pPr>
              <w:spacing w:after="0"/>
              <w:rPr>
                <w:sz w:val="20"/>
                <w:szCs w:val="20"/>
                <w:color w:val="auto"/>
              </w:rPr>
            </w:pPr>
            <w:r>
              <w:rPr>
                <w:rFonts w:ascii="Arial" w:cs="Arial" w:eastAsia="Arial" w:hAnsi="Arial"/>
                <w:sz w:val="12"/>
                <w:szCs w:val="12"/>
                <w:color w:val="auto"/>
              </w:rPr>
              <w:t>Current operating lease liabilities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26,669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29,345</w:t>
            </w: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6,955</w:t>
            </w: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b w:val="1"/>
                <w:bCs w:val="1"/>
                <w:color w:val="auto"/>
              </w:rPr>
              <w:t>Noncurrent</w:t>
            </w: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78,498</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89,022</w:t>
            </w:r>
          </w:p>
        </w:tc>
      </w:tr>
      <w:tr>
        <w:trPr>
          <w:trHeight w:val="144"/>
        </w:trPr>
        <w:tc>
          <w:tcPr>
            <w:tcW w:w="23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Financing</w:t>
            </w:r>
          </w:p>
        </w:tc>
        <w:tc>
          <w:tcPr>
            <w:tcW w:w="1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6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29,559</w:t>
            </w:r>
          </w:p>
        </w:tc>
        <w:tc>
          <w:tcPr>
            <w:tcW w:w="22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33,473</w:t>
            </w:r>
          </w:p>
        </w:tc>
      </w:tr>
      <w:tr>
        <w:trPr>
          <w:trHeight w:val="153"/>
        </w:trPr>
        <w:tc>
          <w:tcPr>
            <w:tcW w:w="234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leased liabilities</w:t>
            </w:r>
          </w:p>
        </w:tc>
        <w:tc>
          <w:tcPr>
            <w:tcW w:w="18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142,186</w:t>
            </w:r>
          </w:p>
        </w:tc>
        <w:tc>
          <w:tcPr>
            <w:tcW w:w="220" w:type="dxa"/>
            <w:vAlign w:val="bottom"/>
            <w:tcBorders>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158,795</w:t>
            </w:r>
          </w:p>
        </w:tc>
      </w:tr>
      <w:tr>
        <w:trPr>
          <w:trHeight w:val="455"/>
        </w:trPr>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jc w:val="right"/>
              <w:ind w:right="280"/>
              <w:spacing w:after="0"/>
              <w:rPr>
                <w:sz w:val="20"/>
                <w:szCs w:val="20"/>
                <w:color w:val="auto"/>
              </w:rPr>
            </w:pPr>
            <w:r>
              <w:rPr>
                <w:rFonts w:ascii="Arial" w:cs="Arial" w:eastAsia="Arial" w:hAnsi="Arial"/>
                <w:sz w:val="12"/>
                <w:szCs w:val="12"/>
                <w:color w:val="auto"/>
              </w:rPr>
              <w:t>12</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7"/>
        </w:trPr>
        <w:tc>
          <w:tcPr>
            <w:tcW w:w="2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2" w:name="page13"/>
    <w:bookmarkEnd w:id="1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the lease expenses for the three and nine months ended April 30, 2021 and 2020:</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5"/>
          </w:tcPr>
          <w:p>
            <w:pPr>
              <w:ind w:left="120"/>
              <w:spacing w:after="0"/>
              <w:rPr>
                <w:sz w:val="20"/>
                <w:szCs w:val="20"/>
                <w:color w:val="auto"/>
              </w:rPr>
            </w:pPr>
            <w:r>
              <w:rPr>
                <w:rFonts w:ascii="Arial" w:cs="Arial" w:eastAsia="Arial" w:hAnsi="Arial"/>
                <w:sz w:val="10"/>
                <w:szCs w:val="10"/>
                <w:b w:val="1"/>
                <w:bCs w:val="1"/>
                <w:color w:val="auto"/>
              </w:rPr>
              <w:t>For the three months ended April 30,</w:t>
            </w:r>
          </w:p>
        </w:tc>
        <w:tc>
          <w:tcPr>
            <w:tcW w:w="160" w:type="dxa"/>
            <w:vAlign w:val="bottom"/>
          </w:tcPr>
          <w:p>
            <w:pPr>
              <w:spacing w:after="0"/>
              <w:rPr>
                <w:sz w:val="10"/>
                <w:szCs w:val="10"/>
                <w:color w:val="auto"/>
              </w:rPr>
            </w:pPr>
          </w:p>
        </w:tc>
        <w:tc>
          <w:tcPr>
            <w:tcW w:w="1880" w:type="dxa"/>
            <w:vAlign w:val="bottom"/>
            <w:gridSpan w:val="4"/>
          </w:tcPr>
          <w:p>
            <w:pPr>
              <w:jc w:val="right"/>
              <w:ind w:right="221"/>
              <w:spacing w:after="0"/>
              <w:rPr>
                <w:sz w:val="20"/>
                <w:szCs w:val="20"/>
                <w:color w:val="auto"/>
              </w:rPr>
            </w:pPr>
            <w:r>
              <w:rPr>
                <w:rFonts w:ascii="Arial" w:cs="Arial" w:eastAsia="Arial" w:hAnsi="Arial"/>
                <w:sz w:val="10"/>
                <w:szCs w:val="10"/>
                <w:b w:val="1"/>
                <w:bCs w:val="1"/>
                <w:color w:val="auto"/>
                <w:w w:val="92"/>
              </w:rPr>
              <w:t>For the nine months ended April 30,</w:t>
            </w:r>
          </w:p>
        </w:tc>
      </w:tr>
      <w:tr>
        <w:trPr>
          <w:trHeight w:val="124"/>
        </w:trPr>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Leases expense</w:t>
            </w:r>
          </w:p>
        </w:tc>
        <w:tc>
          <w:tcPr>
            <w:tcW w:w="2420" w:type="dxa"/>
            <w:vAlign w:val="bottom"/>
            <w:gridSpan w:val="2"/>
          </w:tcPr>
          <w:p>
            <w:pPr>
              <w:spacing w:after="0"/>
              <w:rPr>
                <w:sz w:val="20"/>
                <w:szCs w:val="20"/>
                <w:color w:val="auto"/>
              </w:rPr>
            </w:pPr>
            <w:r>
              <w:rPr>
                <w:rFonts w:ascii="Arial" w:cs="Arial" w:eastAsia="Arial" w:hAnsi="Arial"/>
                <w:sz w:val="10"/>
                <w:szCs w:val="10"/>
                <w:b w:val="1"/>
                <w:bCs w:val="1"/>
                <w:color w:val="auto"/>
              </w:rPr>
              <w:t>Classification</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2020</w:t>
            </w:r>
          </w:p>
        </w:tc>
      </w:tr>
      <w:tr>
        <w:trPr>
          <w:trHeight w:val="124"/>
        </w:trPr>
        <w:tc>
          <w:tcPr>
            <w:tcW w:w="22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Operating lease expense</w:t>
            </w: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0"/>
              </w:rPr>
              <w:t>Operating expense - personnel, vehicle, plant and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5,351</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2"/>
                <w:szCs w:val="12"/>
                <w:color w:val="auto"/>
                <w:w w:val="96"/>
              </w:rPr>
              <w:t>Operating expense - equipment lease expense</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7,602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23,365</w:t>
            </w:r>
          </w:p>
        </w:tc>
      </w:tr>
      <w:tr>
        <w:trPr>
          <w:trHeight w:val="135"/>
        </w:trPr>
        <w:tc>
          <w:tcPr>
            <w:tcW w:w="2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Cost of sales - propane and other gas liquids</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2"/>
                <w:szCs w:val="12"/>
                <w:color w:val="auto"/>
              </w:rPr>
              <w:t>General and administrative expense</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(169)</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1,491</w:t>
            </w:r>
          </w:p>
        </w:tc>
      </w:tr>
      <w:tr>
        <w:trPr>
          <w:trHeight w:val="133"/>
        </w:trPr>
        <w:tc>
          <w:tcPr>
            <w:tcW w:w="23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operating lease expense</w:t>
            </w:r>
          </w:p>
        </w:tc>
        <w:tc>
          <w:tcPr>
            <w:tcW w:w="23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8,511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10,446</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26,240</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31,290</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Short-term expense</w:t>
            </w: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0"/>
              </w:rPr>
              <w:t>Operating expense - personnel, vehicle, plant and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w:t>
            </w:r>
          </w:p>
        </w:tc>
      </w:tr>
      <w:tr>
        <w:trPr>
          <w:trHeight w:val="144"/>
        </w:trPr>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General and administrative expense</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w:t>
            </w:r>
          </w:p>
        </w:tc>
      </w:tr>
      <w:tr>
        <w:trPr>
          <w:trHeight w:val="133"/>
        </w:trPr>
        <w:tc>
          <w:tcPr>
            <w:tcW w:w="23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short-term expense</w:t>
            </w:r>
          </w:p>
        </w:tc>
        <w:tc>
          <w:tcPr>
            <w:tcW w:w="2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2,114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1,635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6,383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5,852</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Variable lease expense</w:t>
            </w: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0"/>
              </w:rPr>
              <w:t>Operating expense - personnel, vehicle, plant and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2,097</w:t>
            </w:r>
          </w:p>
        </w:tc>
      </w:tr>
      <w:tr>
        <w:trPr>
          <w:trHeight w:val="144"/>
        </w:trPr>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w w:val="96"/>
              </w:rPr>
              <w:t>Operating expense - equipment lease expense</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r>
      <w:tr>
        <w:trPr>
          <w:trHeight w:val="133"/>
        </w:trPr>
        <w:tc>
          <w:tcPr>
            <w:tcW w:w="23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variable lease expense</w:t>
            </w:r>
          </w:p>
        </w:tc>
        <w:tc>
          <w:tcPr>
            <w:tcW w:w="2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1,181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1,224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3,462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3,456</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 expense:</w:t>
            </w: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color w:val="auto"/>
              </w:rPr>
              <w:t>Amortization of leased assets</w:t>
            </w:r>
          </w:p>
        </w:tc>
        <w:tc>
          <w:tcPr>
            <w:tcW w:w="2420" w:type="dxa"/>
            <w:vAlign w:val="bottom"/>
            <w:gridSpan w:val="2"/>
          </w:tcPr>
          <w:p>
            <w:pPr>
              <w:spacing w:after="0"/>
              <w:rPr>
                <w:sz w:val="20"/>
                <w:szCs w:val="20"/>
                <w:color w:val="auto"/>
              </w:rPr>
            </w:pPr>
            <w:r>
              <w:rPr>
                <w:rFonts w:ascii="Arial" w:cs="Arial" w:eastAsia="Arial" w:hAnsi="Arial"/>
                <w:sz w:val="12"/>
                <w:szCs w:val="12"/>
                <w:color w:val="auto"/>
              </w:rPr>
              <w:t>Depreciation and amortization expense</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6,583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1,229</w:t>
            </w: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on lease liabilities</w:t>
            </w:r>
          </w:p>
        </w:tc>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w:t>
            </w:r>
          </w:p>
        </w:tc>
      </w:tr>
      <w:tr>
        <w:trPr>
          <w:trHeight w:val="133"/>
        </w:trPr>
        <w:tc>
          <w:tcPr>
            <w:tcW w:w="2340" w:type="dxa"/>
            <w:vAlign w:val="bottom"/>
            <w:gridSpan w:val="2"/>
          </w:tcPr>
          <w:p>
            <w:pPr>
              <w:spacing w:after="0" w:line="133" w:lineRule="exact"/>
              <w:rPr>
                <w:sz w:val="20"/>
                <w:szCs w:val="20"/>
                <w:color w:val="auto"/>
              </w:rPr>
            </w:pPr>
            <w:r>
              <w:rPr>
                <w:rFonts w:ascii="Arial" w:cs="Arial" w:eastAsia="Arial" w:hAnsi="Arial"/>
                <w:sz w:val="12"/>
                <w:szCs w:val="12"/>
                <w:color w:val="auto"/>
              </w:rPr>
              <w:t>Total finance lease expense</w:t>
            </w: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3,162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937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9,424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1,772</w:t>
            </w:r>
          </w:p>
        </w:tc>
      </w:tr>
      <w:tr>
        <w:trPr>
          <w:trHeight w:val="144"/>
        </w:trPr>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r>
      <w:tr>
        <w:trPr>
          <w:trHeight w:val="140"/>
        </w:trPr>
        <w:tc>
          <w:tcPr>
            <w:tcW w:w="2340" w:type="dxa"/>
            <w:vAlign w:val="bottom"/>
            <w:gridSpan w:val="2"/>
          </w:tcPr>
          <w:p>
            <w:pPr>
              <w:spacing w:after="0" w:line="133" w:lineRule="exact"/>
              <w:rPr>
                <w:sz w:val="20"/>
                <w:szCs w:val="20"/>
                <w:color w:val="auto"/>
              </w:rPr>
            </w:pPr>
            <w:r>
              <w:rPr>
                <w:rFonts w:ascii="Arial" w:cs="Arial" w:eastAsia="Arial" w:hAnsi="Arial"/>
                <w:sz w:val="12"/>
                <w:szCs w:val="12"/>
                <w:color w:val="auto"/>
              </w:rPr>
              <w:t>Total lease expense (a)</w:t>
            </w: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14,968</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14,242</w:t>
            </w:r>
          </w:p>
        </w:tc>
        <w:tc>
          <w:tcPr>
            <w:tcW w:w="4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45,509</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42,370</w:t>
            </w:r>
          </w:p>
        </w:tc>
      </w:tr>
    </w:tbl>
    <w:p>
      <w:pPr>
        <w:spacing w:after="0" w:line="135" w:lineRule="exact"/>
        <w:rPr>
          <w:sz w:val="20"/>
          <w:szCs w:val="20"/>
          <w:color w:val="auto"/>
        </w:rPr>
      </w:pPr>
    </w:p>
    <w:p>
      <w:pPr>
        <w:jc w:val="both"/>
        <w:ind w:left="480" w:right="119" w:hanging="224"/>
        <w:spacing w:after="0" w:line="263" w:lineRule="auto"/>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three and nine months ended April 30, 2021 Ferrellgas also recognized $0.1 million and $0.4 million, respectively, of expense related to the accretion of lease exit costs associated with a crude oil storage agreement that is no longer being utilized, primarily due to various Midstream dispositions, and for which Ferrellgas does not anticipate any future economic benefit.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Minimum annual payments under existing operating and finance lease liabilities as of April 30, 2021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Maturities of lease liabilities</w:t>
            </w:r>
          </w:p>
        </w:tc>
        <w:tc>
          <w:tcPr>
            <w:tcW w:w="1060" w:type="dxa"/>
            <w:vAlign w:val="bottom"/>
          </w:tcPr>
          <w:p>
            <w:pPr>
              <w:jc w:val="right"/>
              <w:ind w:right="192"/>
              <w:spacing w:after="0"/>
              <w:rPr>
                <w:sz w:val="20"/>
                <w:szCs w:val="20"/>
                <w:color w:val="auto"/>
              </w:rPr>
            </w:pPr>
            <w:r>
              <w:rPr>
                <w:rFonts w:ascii="Arial" w:cs="Arial" w:eastAsia="Arial" w:hAnsi="Arial"/>
                <w:sz w:val="10"/>
                <w:szCs w:val="10"/>
                <w:b w:val="1"/>
                <w:bCs w:val="1"/>
                <w:color w:val="auto"/>
                <w:w w:val="99"/>
              </w:rPr>
              <w:t>Operating leases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Finance leases</w:t>
            </w:r>
          </w:p>
        </w:tc>
        <w:tc>
          <w:tcPr>
            <w:tcW w:w="100" w:type="dxa"/>
            <w:vAlign w:val="bottom"/>
          </w:tcPr>
          <w:p>
            <w:pPr>
              <w:spacing w:after="0"/>
              <w:rPr>
                <w:sz w:val="10"/>
                <w:szCs w:val="10"/>
                <w:color w:val="auto"/>
              </w:rPr>
            </w:pPr>
          </w:p>
        </w:tc>
        <w:tc>
          <w:tcPr>
            <w:tcW w:w="2240" w:type="dxa"/>
            <w:vAlign w:val="bottom"/>
          </w:tcPr>
          <w:p>
            <w:pPr>
              <w:jc w:val="right"/>
              <w:ind w:right="1941"/>
              <w:spacing w:after="0"/>
              <w:rPr>
                <w:sz w:val="20"/>
                <w:szCs w:val="20"/>
                <w:color w:val="auto"/>
              </w:rPr>
            </w:pPr>
            <w:r>
              <w:rPr>
                <w:rFonts w:ascii="Arial" w:cs="Arial" w:eastAsia="Arial" w:hAnsi="Arial"/>
                <w:sz w:val="10"/>
                <w:szCs w:val="10"/>
                <w:b w:val="1"/>
                <w:bCs w:val="1"/>
                <w:color w:val="auto"/>
                <w:w w:val="91"/>
              </w:rPr>
              <w:t>Total</w:t>
            </w:r>
          </w:p>
        </w:tc>
      </w:tr>
      <w:tr>
        <w:trPr>
          <w:trHeight w:val="133"/>
        </w:trPr>
        <w:tc>
          <w:tcPr>
            <w:tcW w:w="2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2021</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10,376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3,391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13,767</w:t>
            </w:r>
          </w:p>
        </w:tc>
      </w:tr>
      <w:tr>
        <w:trPr>
          <w:trHeight w:val="144"/>
        </w:trPr>
        <w:tc>
          <w:tcPr>
            <w:tcW w:w="2780" w:type="dxa"/>
            <w:vAlign w:val="bottom"/>
          </w:tcPr>
          <w:p>
            <w:pPr>
              <w:jc w:val="right"/>
              <w:spacing w:after="0"/>
              <w:rPr>
                <w:sz w:val="20"/>
                <w:szCs w:val="20"/>
                <w:color w:val="auto"/>
              </w:rPr>
            </w:pPr>
            <w:r>
              <w:rPr>
                <w:rFonts w:ascii="Arial" w:cs="Arial" w:eastAsia="Arial" w:hAnsi="Arial"/>
                <w:sz w:val="12"/>
                <w:szCs w:val="12"/>
                <w:color w:val="auto"/>
              </w:rPr>
              <w:t>2022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28,860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ind w:right="1"/>
              <w:spacing w:after="0"/>
              <w:rPr>
                <w:sz w:val="20"/>
                <w:szCs w:val="20"/>
                <w:color w:val="auto"/>
              </w:rPr>
            </w:pPr>
            <w:r>
              <w:rPr>
                <w:rFonts w:ascii="Arial" w:cs="Arial" w:eastAsia="Arial" w:hAnsi="Arial"/>
                <w:sz w:val="12"/>
                <w:szCs w:val="12"/>
                <w:color w:val="auto"/>
              </w:rPr>
              <w:t>10,148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Arial" w:cs="Arial" w:eastAsia="Arial" w:hAnsi="Arial"/>
                <w:sz w:val="12"/>
                <w:szCs w:val="12"/>
                <w:color w:val="auto"/>
              </w:rPr>
              <w:t>39,008</w:t>
            </w:r>
          </w:p>
        </w:tc>
      </w:tr>
      <w:tr>
        <w:trPr>
          <w:trHeight w:val="144"/>
        </w:trPr>
        <w:tc>
          <w:tcPr>
            <w:tcW w:w="2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44,823</w:t>
            </w:r>
          </w:p>
        </w:tc>
      </w:tr>
      <w:tr>
        <w:trPr>
          <w:trHeight w:val="144"/>
        </w:trPr>
        <w:tc>
          <w:tcPr>
            <w:tcW w:w="2780" w:type="dxa"/>
            <w:vAlign w:val="bottom"/>
          </w:tcPr>
          <w:p>
            <w:pPr>
              <w:jc w:val="right"/>
              <w:spacing w:after="0"/>
              <w:rPr>
                <w:sz w:val="20"/>
                <w:szCs w:val="20"/>
                <w:color w:val="auto"/>
              </w:rPr>
            </w:pPr>
            <w:r>
              <w:rPr>
                <w:rFonts w:ascii="Arial" w:cs="Arial" w:eastAsia="Arial" w:hAnsi="Arial"/>
                <w:sz w:val="12"/>
                <w:szCs w:val="12"/>
                <w:color w:val="auto"/>
              </w:rPr>
              <w:t>2024</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ind w:right="1"/>
              <w:spacing w:after="0"/>
              <w:rPr>
                <w:sz w:val="20"/>
                <w:szCs w:val="20"/>
                <w:color w:val="auto"/>
              </w:rPr>
            </w:pPr>
            <w:r>
              <w:rPr>
                <w:rFonts w:ascii="Arial" w:cs="Arial" w:eastAsia="Arial" w:hAnsi="Arial"/>
                <w:sz w:val="12"/>
                <w:szCs w:val="12"/>
                <w:color w:val="auto"/>
              </w:rPr>
              <w:t>7,564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Arial" w:cs="Arial" w:eastAsia="Arial" w:hAnsi="Arial"/>
                <w:sz w:val="12"/>
                <w:szCs w:val="12"/>
                <w:color w:val="auto"/>
              </w:rPr>
              <w:t>27,346</w:t>
            </w:r>
          </w:p>
        </w:tc>
      </w:tr>
      <w:tr>
        <w:trPr>
          <w:trHeight w:val="144"/>
        </w:trPr>
        <w:tc>
          <w:tcPr>
            <w:tcW w:w="2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21,520</w:t>
            </w:r>
          </w:p>
        </w:tc>
      </w:tr>
      <w:tr>
        <w:trPr>
          <w:trHeight w:val="144"/>
        </w:trPr>
        <w:tc>
          <w:tcPr>
            <w:tcW w:w="2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2"/>
                <w:szCs w:val="12"/>
                <w:color w:val="auto"/>
              </w:rPr>
              <w:t>Thereafter</w:t>
            </w:r>
          </w:p>
        </w:tc>
        <w:tc>
          <w:tcPr>
            <w:tcW w:w="10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21,931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11,559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33,490</w:t>
            </w:r>
          </w:p>
        </w:tc>
      </w:tr>
      <w:tr>
        <w:trPr>
          <w:trHeight w:val="133"/>
        </w:trPr>
        <w:tc>
          <w:tcPr>
            <w:tcW w:w="29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Total lease payments</w:t>
            </w: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131,566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48,388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179,954</w:t>
            </w:r>
          </w:p>
        </w:tc>
      </w:tr>
      <w:tr>
        <w:trPr>
          <w:trHeight w:val="144"/>
        </w:trPr>
        <w:tc>
          <w:tcPr>
            <w:tcW w:w="2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2"/>
                <w:szCs w:val="12"/>
                <w:color w:val="auto"/>
              </w:rPr>
              <w:t>Less: Imputed interest</w:t>
            </w:r>
          </w:p>
        </w:tc>
        <w:tc>
          <w:tcPr>
            <w:tcW w:w="10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26,399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11,369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37,768</w:t>
            </w:r>
          </w:p>
        </w:tc>
      </w:tr>
      <w:tr>
        <w:trPr>
          <w:trHeight w:val="140"/>
        </w:trPr>
        <w:tc>
          <w:tcPr>
            <w:tcW w:w="2900" w:type="dxa"/>
            <w:vAlign w:val="bottom"/>
            <w:tcBorders>
              <w:bottom w:val="single" w:sz="8" w:color="CCEEFF"/>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Present value of lease liabilities</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105,167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37,019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142,186</w:t>
            </w:r>
          </w:p>
        </w:tc>
      </w:tr>
      <w:tr>
        <w:trPr>
          <w:trHeight w:val="468"/>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67"/>
        </w:trPr>
        <w:tc>
          <w:tcPr>
            <w:tcW w:w="2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3" w:name="page14"/>
    <w:bookmarkEnd w:id="1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represents the weighted-average remaining lease term and discount rate as of April 30, 2021:</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gridSpan w:val="2"/>
            <w:vMerge w:val="restart"/>
          </w:tcPr>
          <w:p>
            <w:pPr>
              <w:ind w:left="1280"/>
              <w:spacing w:after="0"/>
              <w:rPr>
                <w:sz w:val="20"/>
                <w:szCs w:val="20"/>
                <w:color w:val="auto"/>
              </w:rPr>
            </w:pPr>
            <w:r>
              <w:rPr>
                <w:rFonts w:ascii="Arial" w:cs="Arial" w:eastAsia="Arial" w:hAnsi="Arial"/>
                <w:sz w:val="10"/>
                <w:szCs w:val="10"/>
                <w:b w:val="1"/>
                <w:bCs w:val="1"/>
                <w:color w:val="auto"/>
              </w:rPr>
              <w:t>Lease type</w:t>
            </w:r>
          </w:p>
        </w:tc>
        <w:tc>
          <w:tcPr>
            <w:tcW w:w="14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5"/>
          </w:tcPr>
          <w:p>
            <w:pPr>
              <w:ind w:left="1040"/>
              <w:spacing w:after="0"/>
              <w:rPr>
                <w:sz w:val="20"/>
                <w:szCs w:val="20"/>
                <w:color w:val="auto"/>
              </w:rPr>
            </w:pPr>
            <w:r>
              <w:rPr>
                <w:rFonts w:ascii="Arial" w:cs="Arial" w:eastAsia="Arial" w:hAnsi="Arial"/>
                <w:sz w:val="10"/>
                <w:szCs w:val="10"/>
                <w:b w:val="1"/>
                <w:bCs w:val="1"/>
                <w:color w:val="auto"/>
              </w:rPr>
              <w:t>As of April 30, 2021</w:t>
            </w:r>
          </w:p>
        </w:tc>
        <w:tc>
          <w:tcPr>
            <w:tcW w:w="1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140" w:type="dxa"/>
            <w:vAlign w:val="bottom"/>
            <w:gridSpan w:val="2"/>
            <w:vMerge w:val="continue"/>
          </w:tcPr>
          <w:p>
            <w:pPr>
              <w:spacing w:after="0"/>
              <w:rPr>
                <w:sz w:val="7"/>
                <w:szCs w:val="7"/>
                <w:color w:val="auto"/>
              </w:rPr>
            </w:pPr>
          </w:p>
        </w:tc>
        <w:tc>
          <w:tcPr>
            <w:tcW w:w="2760" w:type="dxa"/>
            <w:vAlign w:val="bottom"/>
            <w:gridSpan w:val="2"/>
          </w:tcPr>
          <w:p>
            <w:pPr>
              <w:jc w:val="right"/>
              <w:ind w:right="92"/>
              <w:spacing w:after="0" w:line="88" w:lineRule="exact"/>
              <w:rPr>
                <w:sz w:val="20"/>
                <w:szCs w:val="20"/>
                <w:color w:val="auto"/>
              </w:rPr>
            </w:pPr>
            <w:r>
              <w:rPr>
                <w:rFonts w:ascii="Arial" w:cs="Arial" w:eastAsia="Arial" w:hAnsi="Arial"/>
                <w:sz w:val="10"/>
                <w:szCs w:val="10"/>
                <w:b w:val="1"/>
                <w:bCs w:val="1"/>
                <w:color w:val="auto"/>
              </w:rPr>
              <w:t>Weighted-average remaining lease term (years)</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jc w:val="right"/>
              <w:ind w:right="32"/>
              <w:spacing w:after="0" w:line="88" w:lineRule="exact"/>
              <w:rPr>
                <w:sz w:val="20"/>
                <w:szCs w:val="20"/>
                <w:color w:val="auto"/>
              </w:rPr>
            </w:pPr>
            <w:r>
              <w:rPr>
                <w:rFonts w:ascii="Arial" w:cs="Arial" w:eastAsia="Arial" w:hAnsi="Arial"/>
                <w:sz w:val="10"/>
                <w:szCs w:val="10"/>
                <w:b w:val="1"/>
                <w:bCs w:val="1"/>
                <w:color w:val="auto"/>
              </w:rPr>
              <w:t>Weighted-average discount rate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Operating leases</w:t>
            </w:r>
          </w:p>
        </w:tc>
        <w:tc>
          <w:tcPr>
            <w:tcW w:w="14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rPr>
              <w:t>Finance leases</w:t>
            </w:r>
          </w:p>
        </w:tc>
        <w:tc>
          <w:tcPr>
            <w:tcW w:w="1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79"/>
        </w:trPr>
        <w:tc>
          <w:tcPr>
            <w:tcW w:w="3140" w:type="dxa"/>
            <w:vAlign w:val="bottom"/>
            <w:gridSpan w:val="2"/>
          </w:tcPr>
          <w:p>
            <w:pPr>
              <w:spacing w:after="0"/>
              <w:rPr>
                <w:sz w:val="20"/>
                <w:szCs w:val="20"/>
                <w:color w:val="auto"/>
              </w:rPr>
            </w:pPr>
            <w:r>
              <w:rPr>
                <w:rFonts w:ascii="Arial" w:cs="Arial" w:eastAsia="Arial" w:hAnsi="Arial"/>
                <w:sz w:val="12"/>
                <w:szCs w:val="12"/>
                <w:color w:val="auto"/>
              </w:rPr>
              <w:t>Cash flow information is presented below:</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972"/>
              <w:spacing w:after="0"/>
              <w:rPr>
                <w:sz w:val="20"/>
                <w:szCs w:val="20"/>
                <w:color w:val="auto"/>
              </w:rPr>
            </w:pPr>
            <w:r>
              <w:rPr>
                <w:rFonts w:ascii="Arial" w:cs="Arial" w:eastAsia="Arial" w:hAnsi="Arial"/>
                <w:sz w:val="10"/>
                <w:szCs w:val="10"/>
                <w:b w:val="1"/>
                <w:bCs w:val="1"/>
                <w:color w:val="auto"/>
                <w:w w:val="92"/>
              </w:rPr>
              <w:t>For the nine months ended April 30,</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0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jc w:val="right"/>
              <w:ind w:right="112"/>
              <w:spacing w:after="0" w:line="97" w:lineRule="exact"/>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660" w:type="dxa"/>
            <w:vAlign w:val="bottom"/>
            <w:tcBorders>
              <w:bottom w:val="single" w:sz="8" w:color="auto"/>
            </w:tcBorders>
          </w:tcPr>
          <w:p>
            <w:pPr>
              <w:jc w:val="right"/>
              <w:ind w:right="472"/>
              <w:spacing w:after="0" w:line="97"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60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w w:val="94"/>
              </w:rPr>
              <w:t>Cash paid for amounts included in the measurement of lease liabilities for operating leases:</w:t>
            </w:r>
          </w:p>
        </w:tc>
        <w:tc>
          <w:tcPr>
            <w:tcW w:w="1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Arial" w:cs="Arial" w:eastAsia="Arial" w:hAnsi="Arial"/>
                <w:sz w:val="12"/>
                <w:szCs w:val="12"/>
                <w:color w:val="auto"/>
              </w:rPr>
              <w:t>Operating cash flows</w:t>
            </w:r>
          </w:p>
        </w:tc>
        <w:tc>
          <w:tcPr>
            <w:tcW w:w="2760" w:type="dxa"/>
            <w:vAlign w:val="bottom"/>
            <w:gridSpan w:val="2"/>
          </w:tcPr>
          <w:p>
            <w:pPr>
              <w:jc w:val="right"/>
              <w:ind w:right="119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26,454</w:t>
            </w:r>
          </w:p>
        </w:tc>
        <w:tc>
          <w:tcPr>
            <w:tcW w:w="160" w:type="dxa"/>
            <w:vAlign w:val="bottom"/>
          </w:tcPr>
          <w:p>
            <w:pPr>
              <w:spacing w:after="0"/>
              <w:rPr>
                <w:sz w:val="12"/>
                <w:szCs w:val="12"/>
                <w:color w:val="auto"/>
              </w:rPr>
            </w:pPr>
          </w:p>
        </w:tc>
        <w:tc>
          <w:tcPr>
            <w:tcW w:w="1660" w:type="dxa"/>
            <w:vAlign w:val="bottom"/>
          </w:tcPr>
          <w:p>
            <w:pPr>
              <w:jc w:val="right"/>
              <w:ind w:right="155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32,104</w:t>
            </w:r>
          </w:p>
        </w:tc>
        <w:tc>
          <w:tcPr>
            <w:tcW w:w="0" w:type="dxa"/>
            <w:vAlign w:val="bottom"/>
          </w:tcPr>
          <w:p>
            <w:pPr>
              <w:spacing w:after="0"/>
              <w:rPr>
                <w:sz w:val="1"/>
                <w:szCs w:val="1"/>
                <w:color w:val="auto"/>
              </w:rPr>
            </w:pPr>
          </w:p>
        </w:tc>
      </w:tr>
      <w:tr>
        <w:trPr>
          <w:trHeight w:val="144"/>
        </w:trPr>
        <w:tc>
          <w:tcPr>
            <w:tcW w:w="4600" w:type="dxa"/>
            <w:vAlign w:val="bottom"/>
            <w:gridSpan w:val="3"/>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gridSpan w:val="4"/>
          </w:tcPr>
          <w:p>
            <w:pPr>
              <w:spacing w:after="0"/>
              <w:rPr>
                <w:sz w:val="20"/>
                <w:szCs w:val="20"/>
                <w:color w:val="auto"/>
              </w:rPr>
            </w:pPr>
            <w:r>
              <w:rPr>
                <w:rFonts w:ascii="Arial" w:cs="Arial" w:eastAsia="Arial" w:hAnsi="Arial"/>
                <w:sz w:val="12"/>
                <w:szCs w:val="12"/>
                <w:color w:val="auto"/>
              </w:rPr>
              <w:t>Cash paid for amounts included in the measurement of lease liabilities for financing leases: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cash flows</w:t>
            </w:r>
          </w:p>
        </w:tc>
        <w:tc>
          <w:tcPr>
            <w:tcW w:w="2760" w:type="dxa"/>
            <w:vAlign w:val="bottom"/>
            <w:gridSpan w:val="2"/>
            <w:shd w:val="clear" w:color="auto" w:fill="CCEEFF"/>
          </w:tcPr>
          <w:p>
            <w:pPr>
              <w:jc w:val="right"/>
              <w:ind w:right="1192"/>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2,571</w:t>
            </w: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155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rPr>
              <w:t>Financing cash flows</w:t>
            </w:r>
          </w:p>
        </w:tc>
        <w:tc>
          <w:tcPr>
            <w:tcW w:w="2760" w:type="dxa"/>
            <w:vAlign w:val="bottom"/>
            <w:gridSpan w:val="2"/>
          </w:tcPr>
          <w:p>
            <w:pPr>
              <w:jc w:val="right"/>
              <w:ind w:right="119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5,282</w:t>
            </w:r>
          </w:p>
        </w:tc>
        <w:tc>
          <w:tcPr>
            <w:tcW w:w="160" w:type="dxa"/>
            <w:vAlign w:val="bottom"/>
          </w:tcPr>
          <w:p>
            <w:pPr>
              <w:spacing w:after="0"/>
              <w:rPr>
                <w:sz w:val="13"/>
                <w:szCs w:val="13"/>
                <w:color w:val="auto"/>
              </w:rPr>
            </w:pPr>
          </w:p>
        </w:tc>
        <w:tc>
          <w:tcPr>
            <w:tcW w:w="1660" w:type="dxa"/>
            <w:vAlign w:val="bottom"/>
          </w:tcPr>
          <w:p>
            <w:pPr>
              <w:jc w:val="right"/>
              <w:ind w:right="155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hanging="238"/>
        <w:spacing w:after="0"/>
        <w:tabs>
          <w:tab w:leader="none" w:pos="260"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Supplemental financial statement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Inventories consist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 2021</w:t>
            </w:r>
          </w:p>
        </w:tc>
        <w:tc>
          <w:tcPr>
            <w:tcW w:w="160" w:type="dxa"/>
            <w:vAlign w:val="bottom"/>
          </w:tcPr>
          <w:p>
            <w:pPr>
              <w:spacing w:after="0"/>
              <w:rPr>
                <w:sz w:val="10"/>
                <w:szCs w:val="10"/>
                <w:color w:val="auto"/>
              </w:rPr>
            </w:pPr>
          </w:p>
        </w:tc>
        <w:tc>
          <w:tcPr>
            <w:tcW w:w="860" w:type="dxa"/>
            <w:vAlign w:val="bottom"/>
          </w:tcPr>
          <w:p>
            <w:pPr>
              <w:jc w:val="right"/>
              <w:ind w:right="183"/>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6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Propane gas and related products</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56,369</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58,733</w:t>
            </w:r>
          </w:p>
        </w:tc>
      </w:tr>
      <w:tr>
        <w:trPr>
          <w:trHeight w:val="144"/>
        </w:trPr>
        <w:tc>
          <w:tcPr>
            <w:tcW w:w="6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Appliances, parts and supplies, and other</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13,931</w:t>
            </w:r>
          </w:p>
        </w:tc>
      </w:tr>
      <w:tr>
        <w:trPr>
          <w:trHeight w:val="140"/>
        </w:trPr>
        <w:tc>
          <w:tcPr>
            <w:tcW w:w="672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Inventories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69,742</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72,664</w:t>
            </w:r>
          </w:p>
        </w:tc>
      </w:tr>
    </w:tbl>
    <w:p>
      <w:pPr>
        <w:spacing w:after="0" w:line="135"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In addition to inventories on hand, Ferrellgas enters into contracts to take delivery of propane for supply procurement purposes with terms that generally do not exceed 36 months. Most of these contracts call for payment based on market prices at the date of delivery. As of April 30, 2021, Ferrellgas had committed, for supply procurement purposes, to take delivery of approximately 11.6 million gallons of propane at fixed prices.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Prepaid expenses and other current assets consist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 2021</w:t>
            </w:r>
          </w:p>
        </w:tc>
        <w:tc>
          <w:tcPr>
            <w:tcW w:w="160" w:type="dxa"/>
            <w:vAlign w:val="bottom"/>
          </w:tcPr>
          <w:p>
            <w:pPr>
              <w:spacing w:after="0"/>
              <w:rPr>
                <w:sz w:val="10"/>
                <w:szCs w:val="10"/>
                <w:color w:val="auto"/>
              </w:rPr>
            </w:pPr>
          </w:p>
        </w:tc>
        <w:tc>
          <w:tcPr>
            <w:tcW w:w="860" w:type="dxa"/>
            <w:vAlign w:val="bottom"/>
          </w:tcPr>
          <w:p>
            <w:pPr>
              <w:jc w:val="right"/>
              <w:ind w:right="18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Broker margin deposit assets</w:t>
            </w:r>
          </w:p>
        </w:tc>
        <w:tc>
          <w:tcPr>
            <w:tcW w:w="3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14,972</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14,398</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Price risk management asset</w:t>
            </w: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29,612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2,846</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3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29,400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18,700</w:t>
            </w:r>
          </w:p>
        </w:tc>
      </w:tr>
      <w:tr>
        <w:trPr>
          <w:trHeight w:val="140"/>
        </w:trPr>
        <w:tc>
          <w:tcPr>
            <w:tcW w:w="3380" w:type="dxa"/>
            <w:vAlign w:val="bottom"/>
          </w:tcPr>
          <w:p>
            <w:pPr>
              <w:ind w:left="80"/>
              <w:spacing w:after="0" w:line="133" w:lineRule="exact"/>
              <w:rPr>
                <w:sz w:val="20"/>
                <w:szCs w:val="20"/>
                <w:color w:val="auto"/>
              </w:rPr>
            </w:pPr>
            <w:r>
              <w:rPr>
                <w:rFonts w:ascii="Arial" w:cs="Arial" w:eastAsia="Arial" w:hAnsi="Arial"/>
                <w:sz w:val="12"/>
                <w:szCs w:val="12"/>
                <w:color w:val="auto"/>
              </w:rPr>
              <w:t>Prepaid expenses and other current assets</w:t>
            </w:r>
          </w:p>
        </w:tc>
        <w:tc>
          <w:tcPr>
            <w:tcW w:w="33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73,984</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35,944</w:t>
            </w:r>
          </w:p>
        </w:tc>
      </w:tr>
      <w:tr>
        <w:trPr>
          <w:trHeight w:val="288"/>
        </w:trPr>
        <w:tc>
          <w:tcPr>
            <w:tcW w:w="3380" w:type="dxa"/>
            <w:vAlign w:val="bottom"/>
          </w:tcPr>
          <w:p>
            <w:pPr>
              <w:spacing w:after="0"/>
              <w:rPr>
                <w:sz w:val="20"/>
                <w:szCs w:val="20"/>
                <w:color w:val="auto"/>
              </w:rPr>
            </w:pPr>
            <w:r>
              <w:rPr>
                <w:rFonts w:ascii="Arial" w:cs="Arial" w:eastAsia="Arial" w:hAnsi="Arial"/>
                <w:sz w:val="12"/>
                <w:szCs w:val="12"/>
                <w:color w:val="auto"/>
              </w:rPr>
              <w:t>Other current liabilities consist of the following:</w:t>
            </w: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2"/>
        </w:trPr>
        <w:tc>
          <w:tcPr>
            <w:tcW w:w="3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 2021</w:t>
            </w:r>
          </w:p>
        </w:tc>
        <w:tc>
          <w:tcPr>
            <w:tcW w:w="160" w:type="dxa"/>
            <w:vAlign w:val="bottom"/>
          </w:tcPr>
          <w:p>
            <w:pPr>
              <w:spacing w:after="0"/>
              <w:rPr>
                <w:sz w:val="21"/>
                <w:szCs w:val="21"/>
                <w:color w:val="auto"/>
              </w:rPr>
            </w:pPr>
          </w:p>
        </w:tc>
        <w:tc>
          <w:tcPr>
            <w:tcW w:w="860" w:type="dxa"/>
            <w:vAlign w:val="bottom"/>
          </w:tcPr>
          <w:p>
            <w:pPr>
              <w:jc w:val="right"/>
              <w:ind w:right="18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Accrued interest</w:t>
            </w:r>
          </w:p>
        </w:tc>
        <w:tc>
          <w:tcPr>
            <w:tcW w:w="3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7,754</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53,841</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Customer deposits and advances</w:t>
            </w: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29,296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32,257</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Accrued payroll</w:t>
            </w:r>
          </w:p>
        </w:tc>
        <w:tc>
          <w:tcPr>
            <w:tcW w:w="3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22,646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18,375</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Accrued insurance</w:t>
            </w: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11,305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14,796</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Broker margin deposit liability</w:t>
            </w:r>
          </w:p>
        </w:tc>
        <w:tc>
          <w:tcPr>
            <w:tcW w:w="3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34,581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r>
      <w:tr>
        <w:trPr>
          <w:trHeight w:val="144"/>
        </w:trPr>
        <w:tc>
          <w:tcPr>
            <w:tcW w:w="3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3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72,932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47,687</w:t>
            </w:r>
          </w:p>
        </w:tc>
      </w:tr>
      <w:tr>
        <w:trPr>
          <w:trHeight w:val="153"/>
        </w:trPr>
        <w:tc>
          <w:tcPr>
            <w:tcW w:w="338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Other current liabilities</w:t>
            </w:r>
          </w:p>
        </w:tc>
        <w:tc>
          <w:tcPr>
            <w:tcW w:w="33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178,514</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167,466</w:t>
            </w:r>
          </w:p>
        </w:tc>
      </w:tr>
      <w:tr>
        <w:trPr>
          <w:trHeight w:val="455"/>
        </w:trPr>
        <w:tc>
          <w:tcPr>
            <w:tcW w:w="3380" w:type="dxa"/>
            <w:vAlign w:val="bottom"/>
          </w:tcPr>
          <w:p>
            <w:pPr>
              <w:spacing w:after="0"/>
              <w:rPr>
                <w:sz w:val="24"/>
                <w:szCs w:val="24"/>
                <w:color w:val="auto"/>
              </w:rPr>
            </w:pPr>
          </w:p>
        </w:tc>
        <w:tc>
          <w:tcPr>
            <w:tcW w:w="3340" w:type="dxa"/>
            <w:vAlign w:val="bottom"/>
          </w:tcPr>
          <w:p>
            <w:pPr>
              <w:jc w:val="right"/>
              <w:ind w:right="2120"/>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3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4" w:name="page15"/>
    <w:bookmarkEnd w:id="1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Shipping and handling expenses are classified in the following condensed consolidated statements of operations line items: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4"/>
          </w:tcPr>
          <w:p>
            <w:pPr>
              <w:jc w:val="right"/>
              <w:ind w:right="82"/>
              <w:spacing w:after="0"/>
              <w:rPr>
                <w:sz w:val="20"/>
                <w:szCs w:val="20"/>
                <w:color w:val="auto"/>
              </w:rPr>
            </w:pPr>
            <w:r>
              <w:rPr>
                <w:rFonts w:ascii="Arial" w:cs="Arial" w:eastAsia="Arial" w:hAnsi="Arial"/>
                <w:sz w:val="10"/>
                <w:szCs w:val="10"/>
                <w:b w:val="1"/>
                <w:bCs w:val="1"/>
                <w:color w:val="auto"/>
                <w:w w:val="88"/>
              </w:rPr>
              <w:t>For the three months ended April 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10"/>
                <w:szCs w:val="10"/>
                <w:b w:val="1"/>
                <w:bCs w:val="1"/>
                <w:color w:val="auto"/>
                <w:w w:val="94"/>
              </w:rPr>
              <w:t>For the nine months ended April 30,</w:t>
            </w:r>
          </w:p>
        </w:tc>
      </w:tr>
      <w:tr>
        <w:trPr>
          <w:trHeight w:val="88"/>
        </w:trPr>
        <w:tc>
          <w:tcPr>
            <w:tcW w:w="484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64"/>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2"/>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44"/>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ind w:left="100"/>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r>
      <w:tr>
        <w:trPr>
          <w:trHeight w:val="133"/>
        </w:trPr>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 - personnel, vehicle, plant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56,989</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54,664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161,242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167,666</w:t>
            </w:r>
          </w:p>
        </w:tc>
        <w:tc>
          <w:tcPr>
            <w:tcW w:w="140" w:type="dxa"/>
            <w:vAlign w:val="bottom"/>
            <w:shd w:val="clear" w:color="auto" w:fill="CCEEFF"/>
          </w:tcPr>
          <w:p>
            <w:pPr>
              <w:spacing w:after="0"/>
              <w:rPr>
                <w:sz w:val="11"/>
                <w:szCs w:val="11"/>
                <w:color w:val="auto"/>
              </w:rPr>
            </w:pPr>
          </w:p>
        </w:tc>
      </w:tr>
      <w:tr>
        <w:trPr>
          <w:trHeight w:val="144"/>
        </w:trPr>
        <w:tc>
          <w:tcPr>
            <w:tcW w:w="4840" w:type="dxa"/>
            <w:vAlign w:val="bottom"/>
          </w:tcPr>
          <w:p>
            <w:pPr>
              <w:spacing w:after="0"/>
              <w:rPr>
                <w:sz w:val="20"/>
                <w:szCs w:val="20"/>
                <w:color w:val="auto"/>
              </w:rPr>
            </w:pPr>
            <w:r>
              <w:rPr>
                <w:rFonts w:ascii="Arial" w:cs="Arial" w:eastAsia="Arial" w:hAnsi="Arial"/>
                <w:sz w:val="12"/>
                <w:szCs w:val="12"/>
                <w:color w:val="auto"/>
              </w:rPr>
              <w:t>Depreciation and amortization expense</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3,347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5,883</w:t>
            </w:r>
          </w:p>
        </w:tc>
        <w:tc>
          <w:tcPr>
            <w:tcW w:w="140" w:type="dxa"/>
            <w:vAlign w:val="bottom"/>
          </w:tcPr>
          <w:p>
            <w:pPr>
              <w:spacing w:after="0"/>
              <w:rPr>
                <w:sz w:val="12"/>
                <w:szCs w:val="12"/>
                <w:color w:val="auto"/>
              </w:rPr>
            </w:pP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 - equipment lease expense</w:t>
            </w: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5,551</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17,227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23,934</w:t>
            </w:r>
          </w:p>
        </w:tc>
        <w:tc>
          <w:tcPr>
            <w:tcW w:w="140" w:type="dxa"/>
            <w:vAlign w:val="bottom"/>
            <w:shd w:val="clear" w:color="auto" w:fill="CCEEFF"/>
          </w:tcPr>
          <w:p>
            <w:pPr>
              <w:spacing w:after="0"/>
              <w:rPr>
                <w:sz w:val="12"/>
                <w:szCs w:val="12"/>
                <w:color w:val="auto"/>
              </w:rPr>
            </w:pPr>
          </w:p>
        </w:tc>
      </w:tr>
      <w:tr>
        <w:trPr>
          <w:trHeight w:val="140"/>
        </w:trPr>
        <w:tc>
          <w:tcPr>
            <w:tcW w:w="48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65,887</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64,979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188,297</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197,483</w:t>
            </w:r>
          </w:p>
        </w:tc>
        <w:tc>
          <w:tcPr>
            <w:tcW w:w="140" w:type="dxa"/>
            <w:vAlign w:val="bottom"/>
          </w:tcPr>
          <w:p>
            <w:pPr>
              <w:spacing w:after="0"/>
              <w:rPr>
                <w:sz w:val="12"/>
                <w:szCs w:val="12"/>
                <w:color w:val="auto"/>
              </w:rPr>
            </w:pPr>
          </w:p>
        </w:tc>
      </w:tr>
      <w:tr>
        <w:trPr>
          <w:trHeight w:val="288"/>
        </w:trPr>
        <w:tc>
          <w:tcPr>
            <w:tcW w:w="4840" w:type="dxa"/>
            <w:vAlign w:val="bottom"/>
          </w:tcPr>
          <w:p>
            <w:pPr>
              <w:spacing w:after="0"/>
              <w:rPr>
                <w:sz w:val="20"/>
                <w:szCs w:val="20"/>
                <w:color w:val="auto"/>
              </w:rPr>
            </w:pPr>
            <w:r>
              <w:rPr>
                <w:rFonts w:ascii="Arial" w:cs="Arial" w:eastAsia="Arial" w:hAnsi="Arial"/>
                <w:sz w:val="12"/>
                <w:szCs w:val="12"/>
                <w:color w:val="auto"/>
              </w:rPr>
              <w:t>Cash and cash equivalents consist of the following: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7"/>
        </w:trPr>
        <w:tc>
          <w:tcPr>
            <w:tcW w:w="4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2"/>
              </w:rPr>
              <w:t>April 30, 2021</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July 31, 2020</w:t>
            </w:r>
          </w:p>
        </w:tc>
      </w:tr>
      <w:tr>
        <w:trPr>
          <w:trHeight w:val="133"/>
        </w:trPr>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211,349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238,002</w:t>
            </w:r>
          </w:p>
        </w:tc>
      </w:tr>
      <w:tr>
        <w:trPr>
          <w:trHeight w:val="144"/>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cash (1)</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11,500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95,759</w:t>
            </w:r>
          </w:p>
        </w:tc>
      </w:tr>
      <w:tr>
        <w:trPr>
          <w:trHeight w:val="140"/>
        </w:trPr>
        <w:tc>
          <w:tcPr>
            <w:tcW w:w="48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cash equivalents and restricted cash</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222,849</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333,761</w:t>
            </w:r>
          </w:p>
        </w:tc>
      </w:tr>
    </w:tbl>
    <w:p>
      <w:pPr>
        <w:spacing w:after="0" w:line="135" w:lineRule="exact"/>
        <w:rPr>
          <w:sz w:val="20"/>
          <w:szCs w:val="20"/>
          <w:color w:val="auto"/>
        </w:rPr>
      </w:pPr>
    </w:p>
    <w:p>
      <w:pPr>
        <w:ind w:left="480" w:right="219" w:hanging="224"/>
        <w:spacing w:after="0" w:line="256" w:lineRule="auto"/>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of April 30, 2021, restricted cash includes an $11.5 million cash deposit made with the administrative agent under the operating partnership’s senior secured credit facility that was terminated in April 2020, which may be used by the administrative agent to pay contingent obligations arising under the financing agreement that governed the terminated senior secured credit facility. As of July 31, 2020, the $95.8 million of restricted cash includes $78.2 million of pledged cash collateral for letters of credit outstanding, the $11.5 million cash deposit made with the administrative agent under the terminated senior secured credit facility and $6.1 million of additional pledged collateral. For additional discussion see Note F – Debt.</w:t>
      </w:r>
    </w:p>
    <w:p>
      <w:pPr>
        <w:spacing w:after="0" w:line="128"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For purposes of the condensed consolidated statements of cash flows, Ferrellgas considers cash equivalents to include all highly liquid debt instruments purchased with an original maturity of three months or less. Certain cash flow and significant non-cash activities are presented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0"/>
                <w:szCs w:val="10"/>
                <w:b w:val="1"/>
                <w:bCs w:val="1"/>
                <w:color w:val="auto"/>
                <w:w w:val="93"/>
              </w:rPr>
              <w:t>For the nine months ended April 30,</w:t>
            </w:r>
          </w:p>
        </w:tc>
      </w:tr>
      <w:tr>
        <w:trPr>
          <w:trHeight w:val="88"/>
        </w:trPr>
        <w:tc>
          <w:tcPr>
            <w:tcW w:w="240" w:type="dxa"/>
            <w:vAlign w:val="bottom"/>
            <w:tcBorders>
              <w:bottom w:val="single" w:sz="8" w:color="CCEEFF"/>
            </w:tcBorders>
          </w:tcPr>
          <w:p>
            <w:pPr>
              <w:spacing w:after="0"/>
              <w:rPr>
                <w:sz w:val="7"/>
                <w:szCs w:val="7"/>
                <w:color w:val="auto"/>
              </w:rPr>
            </w:pPr>
          </w:p>
        </w:tc>
        <w:tc>
          <w:tcPr>
            <w:tcW w:w="1760" w:type="dxa"/>
            <w:vAlign w:val="bottom"/>
            <w:tcBorders>
              <w:bottom w:val="single" w:sz="8" w:color="CCEEFF"/>
            </w:tcBorders>
          </w:tcPr>
          <w:p>
            <w:pPr>
              <w:spacing w:after="0"/>
              <w:rPr>
                <w:sz w:val="7"/>
                <w:szCs w:val="7"/>
                <w:color w:val="auto"/>
              </w:rPr>
            </w:pPr>
          </w:p>
        </w:tc>
        <w:tc>
          <w:tcPr>
            <w:tcW w:w="45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42"/>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462"/>
              <w:spacing w:after="0" w:line="88" w:lineRule="exact"/>
              <w:rPr>
                <w:sz w:val="20"/>
                <w:szCs w:val="20"/>
                <w:color w:val="auto"/>
              </w:rPr>
            </w:pPr>
            <w:r>
              <w:rPr>
                <w:rFonts w:ascii="Arial" w:cs="Arial" w:eastAsia="Arial" w:hAnsi="Arial"/>
                <w:sz w:val="10"/>
                <w:szCs w:val="10"/>
                <w:b w:val="1"/>
                <w:bCs w:val="1"/>
                <w:color w:val="auto"/>
              </w:rPr>
              <w:t>2020</w:t>
            </w:r>
          </w:p>
        </w:tc>
      </w:tr>
      <w:tr>
        <w:trPr>
          <w:trHeight w:val="133"/>
        </w:trPr>
        <w:tc>
          <w:tcPr>
            <w:tcW w:w="65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Cash paid for:</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6560" w:type="dxa"/>
            <w:vAlign w:val="bottom"/>
            <w:gridSpan w:val="3"/>
          </w:tcPr>
          <w:p>
            <w:pPr>
              <w:ind w:left="60"/>
              <w:spacing w:after="0"/>
              <w:rPr>
                <w:sz w:val="20"/>
                <w:szCs w:val="20"/>
                <w:color w:val="auto"/>
              </w:rPr>
            </w:pPr>
            <w:r>
              <w:rPr>
                <w:rFonts w:ascii="Arial" w:cs="Arial" w:eastAsia="Arial" w:hAnsi="Arial"/>
                <w:sz w:val="12"/>
                <w:szCs w:val="12"/>
                <w:color w:val="auto"/>
              </w:rPr>
              <w:t>Interest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154,834</w:t>
            </w:r>
          </w:p>
        </w:tc>
        <w:tc>
          <w:tcPr>
            <w:tcW w:w="20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96,418</w:t>
            </w:r>
          </w:p>
        </w:tc>
      </w:tr>
      <w:tr>
        <w:trPr>
          <w:trHeight w:val="144"/>
        </w:trPr>
        <w:tc>
          <w:tcPr>
            <w:tcW w:w="656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Income taxes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6560" w:type="dxa"/>
            <w:vAlign w:val="bottom"/>
            <w:gridSpan w:val="3"/>
          </w:tcPr>
          <w:p>
            <w:pPr>
              <w:spacing w:after="0"/>
              <w:rPr>
                <w:sz w:val="20"/>
                <w:szCs w:val="20"/>
                <w:color w:val="auto"/>
              </w:rPr>
            </w:pPr>
            <w:r>
              <w:rPr>
                <w:rFonts w:ascii="Arial" w:cs="Arial" w:eastAsia="Arial" w:hAnsi="Arial"/>
                <w:sz w:val="12"/>
                <w:szCs w:val="12"/>
                <w:color w:val="auto"/>
              </w:rPr>
              <w:t>Non-cash investing and financing activities: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56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Liability incurred in connection with Financing Agreement amendment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8,863</w:t>
            </w:r>
          </w:p>
        </w:tc>
      </w:tr>
      <w:tr>
        <w:trPr>
          <w:trHeight w:val="144"/>
        </w:trPr>
        <w:tc>
          <w:tcPr>
            <w:tcW w:w="6560" w:type="dxa"/>
            <w:vAlign w:val="bottom"/>
            <w:gridSpan w:val="3"/>
          </w:tcPr>
          <w:p>
            <w:pPr>
              <w:ind w:left="60"/>
              <w:spacing w:after="0"/>
              <w:rPr>
                <w:sz w:val="20"/>
                <w:szCs w:val="20"/>
                <w:color w:val="auto"/>
              </w:rPr>
            </w:pPr>
            <w:r>
              <w:rPr>
                <w:rFonts w:ascii="Arial" w:cs="Arial" w:eastAsia="Arial" w:hAnsi="Arial"/>
                <w:sz w:val="12"/>
                <w:szCs w:val="12"/>
                <w:color w:val="auto"/>
              </w:rPr>
              <w:t>Change in accruals for property, plant and equipment additions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(48)</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486</w:t>
            </w:r>
          </w:p>
        </w:tc>
      </w:tr>
      <w:tr>
        <w:trPr>
          <w:trHeight w:val="144"/>
        </w:trPr>
        <w:tc>
          <w:tcPr>
            <w:tcW w:w="656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Lease liabilities arising from operating right-of-use assets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20,886</w:t>
            </w:r>
          </w:p>
        </w:tc>
      </w:tr>
      <w:tr>
        <w:trPr>
          <w:trHeight w:val="144"/>
        </w:trPr>
        <w:tc>
          <w:tcPr>
            <w:tcW w:w="6560" w:type="dxa"/>
            <w:vAlign w:val="bottom"/>
            <w:gridSpan w:val="3"/>
          </w:tcPr>
          <w:p>
            <w:pPr>
              <w:ind w:left="60"/>
              <w:spacing w:after="0"/>
              <w:rPr>
                <w:sz w:val="20"/>
                <w:szCs w:val="20"/>
                <w:color w:val="auto"/>
              </w:rPr>
            </w:pPr>
            <w:r>
              <w:rPr>
                <w:rFonts w:ascii="Arial" w:cs="Arial" w:eastAsia="Arial" w:hAnsi="Arial"/>
                <w:sz w:val="12"/>
                <w:szCs w:val="12"/>
                <w:color w:val="auto"/>
              </w:rPr>
              <w:t>Lease liabilities arising from finance right-of-use assets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1,904</w:t>
            </w:r>
          </w:p>
        </w:tc>
        <w:tc>
          <w:tcPr>
            <w:tcW w:w="20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21,156</w:t>
            </w:r>
          </w:p>
        </w:tc>
      </w:tr>
      <w:tr>
        <w:trPr>
          <w:trHeight w:val="144"/>
        </w:trPr>
        <w:tc>
          <w:tcPr>
            <w:tcW w:w="656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Accrued fees relating to senior preferred units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60" w:type="dxa"/>
            <w:vAlign w:val="bottom"/>
            <w:gridSpan w:val="3"/>
          </w:tcPr>
          <w:p>
            <w:pPr>
              <w:ind w:left="60"/>
              <w:spacing w:after="0"/>
              <w:rPr>
                <w:sz w:val="20"/>
                <w:szCs w:val="20"/>
                <w:color w:val="auto"/>
              </w:rPr>
            </w:pPr>
            <w:r>
              <w:rPr>
                <w:rFonts w:ascii="Arial" w:cs="Arial" w:eastAsia="Arial" w:hAnsi="Arial"/>
                <w:sz w:val="12"/>
                <w:szCs w:val="12"/>
                <w:color w:val="auto"/>
              </w:rPr>
              <w:t>Accrued senior preferred units distributions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8,011</w:t>
            </w:r>
          </w:p>
        </w:tc>
        <w:tc>
          <w:tcPr>
            <w:tcW w:w="20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6560" w:type="dxa"/>
            <w:vAlign w:val="bottom"/>
            <w:gridSpan w:val="3"/>
          </w:tcPr>
          <w:p>
            <w:pPr>
              <w:spacing w:after="0"/>
              <w:rPr>
                <w:sz w:val="20"/>
                <w:szCs w:val="20"/>
                <w:color w:val="auto"/>
              </w:rPr>
            </w:pPr>
            <w:r>
              <w:rPr>
                <w:rFonts w:ascii="Arial" w:cs="Arial" w:eastAsia="Arial" w:hAnsi="Arial"/>
                <w:sz w:val="12"/>
                <w:szCs w:val="12"/>
                <w:b w:val="1"/>
                <w:bCs w:val="1"/>
                <w:color w:val="auto"/>
              </w:rPr>
              <w:t>E.  Accounts and notes receivable,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5"/>
        </w:trPr>
        <w:tc>
          <w:tcPr>
            <w:tcW w:w="6560" w:type="dxa"/>
            <w:vAlign w:val="bottom"/>
            <w:gridSpan w:val="3"/>
          </w:tcPr>
          <w:p>
            <w:pPr>
              <w:spacing w:after="0"/>
              <w:rPr>
                <w:sz w:val="20"/>
                <w:szCs w:val="20"/>
                <w:color w:val="auto"/>
              </w:rPr>
            </w:pPr>
            <w:r>
              <w:rPr>
                <w:rFonts w:ascii="Arial" w:cs="Arial" w:eastAsia="Arial" w:hAnsi="Arial"/>
                <w:sz w:val="12"/>
                <w:szCs w:val="12"/>
                <w:color w:val="auto"/>
              </w:rPr>
              <w:t>Accounts and notes receivable, net consist of the following: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2"/>
        </w:trPr>
        <w:tc>
          <w:tcPr>
            <w:tcW w:w="24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9"/>
              </w:rPr>
              <w:t>April 30, 2021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65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Accounts receivable (a)</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175,510</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102,914</w:t>
            </w:r>
          </w:p>
        </w:tc>
      </w:tr>
      <w:tr>
        <w:trPr>
          <w:trHeight w:val="144"/>
        </w:trPr>
        <w:tc>
          <w:tcPr>
            <w:tcW w:w="6560" w:type="dxa"/>
            <w:vAlign w:val="bottom"/>
            <w:gridSpan w:val="3"/>
          </w:tcPr>
          <w:p>
            <w:pPr>
              <w:spacing w:after="0"/>
              <w:rPr>
                <w:sz w:val="20"/>
                <w:szCs w:val="20"/>
                <w:color w:val="auto"/>
              </w:rPr>
            </w:pPr>
            <w:r>
              <w:rPr>
                <w:rFonts w:ascii="Arial" w:cs="Arial" w:eastAsia="Arial" w:hAnsi="Arial"/>
                <w:sz w:val="12"/>
                <w:szCs w:val="12"/>
                <w:color w:val="auto"/>
              </w:rPr>
              <w:t>Note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13,648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12,648</w:t>
            </w:r>
          </w:p>
        </w:tc>
      </w:tr>
      <w:tr>
        <w:trPr>
          <w:trHeight w:val="144"/>
        </w:trPr>
        <w:tc>
          <w:tcPr>
            <w:tcW w:w="65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Less: Allowance for expected credit losses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(18,642)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(14,124)</w:t>
            </w:r>
          </w:p>
        </w:tc>
      </w:tr>
      <w:tr>
        <w:trPr>
          <w:trHeight w:val="140"/>
        </w:trPr>
        <w:tc>
          <w:tcPr>
            <w:tcW w:w="6560" w:type="dxa"/>
            <w:vAlign w:val="bottom"/>
            <w:gridSpan w:val="3"/>
          </w:tcPr>
          <w:p>
            <w:pPr>
              <w:ind w:left="80"/>
              <w:spacing w:after="0" w:line="133" w:lineRule="exact"/>
              <w:rPr>
                <w:sz w:val="20"/>
                <w:szCs w:val="20"/>
                <w:color w:val="auto"/>
              </w:rPr>
            </w:pPr>
            <w:r>
              <w:rPr>
                <w:rFonts w:ascii="Arial" w:cs="Arial" w:eastAsia="Arial" w:hAnsi="Arial"/>
                <w:sz w:val="12"/>
                <w:szCs w:val="12"/>
                <w:color w:val="auto"/>
              </w:rPr>
              <w:t>Accounts and notes receivable, net</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170,516</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101,438</w:t>
            </w:r>
          </w:p>
        </w:tc>
      </w:tr>
    </w:tbl>
    <w:p>
      <w:pPr>
        <w:spacing w:after="0" w:line="135" w:lineRule="exact"/>
        <w:rPr>
          <w:sz w:val="20"/>
          <w:szCs w:val="20"/>
          <w:color w:val="auto"/>
        </w:rPr>
      </w:pPr>
    </w:p>
    <w:p>
      <w:pPr>
        <w:ind w:left="4440" w:right="1859" w:hanging="4184"/>
        <w:spacing w:after="0" w:line="839" w:lineRule="auto"/>
        <w:tabs>
          <w:tab w:leader="none" w:pos="468" w:val="left"/>
        </w:tabs>
        <w:numPr>
          <w:ilvl w:val="0"/>
          <w:numId w:val="10"/>
        </w:numPr>
        <w:rPr>
          <w:rFonts w:ascii="Arial" w:cs="Arial" w:eastAsia="Arial" w:hAnsi="Arial"/>
          <w:sz w:val="12"/>
          <w:szCs w:val="12"/>
          <w:color w:val="auto"/>
        </w:rPr>
      </w:pPr>
      <w:r>
        <w:rPr>
          <w:rFonts w:ascii="Arial" w:cs="Arial" w:eastAsia="Arial" w:hAnsi="Arial"/>
          <w:sz w:val="12"/>
          <w:szCs w:val="12"/>
          <w:color w:val="auto"/>
        </w:rPr>
        <w:t>At July 31, 2020, $103.7 million was pledged as collateral under the terminated accounts receivable securitization facility, discussed below.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5" w:name="page16"/>
    <w:bookmarkEnd w:id="1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On March 30, 2021, Ferrellgas terminated the agreement governing the accounts receivable securitization facility, initially dated as of January 19, 2012 and as subsequently amended from time to time (the “Accounts Receivables Facility”). In connection with the termination of the Accounts Receivables Facility, Ferrellgas repaid all of the outstanding obligations and fees thereunder.</w:t>
      </w:r>
    </w:p>
    <w:p>
      <w:pPr>
        <w:spacing w:after="0" w:line="118" w:lineRule="exact"/>
        <w:rPr>
          <w:sz w:val="20"/>
          <w:szCs w:val="20"/>
          <w:color w:val="auto"/>
        </w:rPr>
      </w:pPr>
    </w:p>
    <w:p>
      <w:pPr>
        <w:ind w:left="20"/>
        <w:spacing w:after="0"/>
        <w:tabs>
          <w:tab w:leader="none" w:pos="220" w:val="left"/>
        </w:tabs>
        <w:rPr>
          <w:sz w:val="20"/>
          <w:szCs w:val="20"/>
          <w:color w:val="auto"/>
        </w:rPr>
      </w:pPr>
      <w:r>
        <w:rPr>
          <w:rFonts w:ascii="Arial" w:cs="Arial" w:eastAsia="Arial" w:hAnsi="Arial"/>
          <w:sz w:val="12"/>
          <w:szCs w:val="12"/>
          <w:b w:val="1"/>
          <w:bCs w:val="1"/>
          <w:color w:val="auto"/>
        </w:rPr>
        <w:t>F.</w:t>
      </w:r>
      <w:r>
        <w:rPr>
          <w:sz w:val="20"/>
          <w:szCs w:val="20"/>
          <w:color w:val="auto"/>
        </w:rPr>
        <w:tab/>
      </w:r>
      <w:r>
        <w:rPr>
          <w:rFonts w:ascii="Arial" w:cs="Arial" w:eastAsia="Arial" w:hAnsi="Arial"/>
          <w:sz w:val="10"/>
          <w:szCs w:val="10"/>
          <w:b w:val="1"/>
          <w:bCs w:val="1"/>
          <w:u w:val="single" w:color="auto"/>
          <w:color w:val="auto"/>
        </w:rPr>
        <w:t>Debt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Long-term debt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Long-term debt consists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60" w:type="dxa"/>
            <w:vAlign w:val="bottom"/>
            <w:vMerge w:val="restart"/>
          </w:tcPr>
          <w:p>
            <w:pPr>
              <w:spacing w:after="0"/>
              <w:rPr>
                <w:sz w:val="20"/>
                <w:szCs w:val="20"/>
                <w:color w:val="auto"/>
              </w:rPr>
            </w:pPr>
            <w:r>
              <w:rPr>
                <w:rFonts w:ascii="Arial" w:cs="Arial" w:eastAsia="Arial" w:hAnsi="Arial"/>
                <w:sz w:val="12"/>
                <w:szCs w:val="12"/>
                <w:b w:val="1"/>
                <w:bCs w:val="1"/>
                <w:color w:val="auto"/>
              </w:rPr>
              <w:t>Unsecured senior notes</w:t>
            </w:r>
          </w:p>
        </w:tc>
        <w:tc>
          <w:tcPr>
            <w:tcW w:w="120" w:type="dxa"/>
            <w:vAlign w:val="bottom"/>
          </w:tcPr>
          <w:p>
            <w:pPr>
              <w:spacing w:after="0"/>
              <w:rPr>
                <w:sz w:val="10"/>
                <w:szCs w:val="1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April 30, 2021</w:t>
            </w:r>
          </w:p>
        </w:tc>
        <w:tc>
          <w:tcPr>
            <w:tcW w:w="140" w:type="dxa"/>
            <w:vAlign w:val="bottom"/>
          </w:tcPr>
          <w:p>
            <w:pPr>
              <w:spacing w:after="0"/>
              <w:rPr>
                <w:sz w:val="10"/>
                <w:szCs w:val="10"/>
                <w:color w:val="auto"/>
              </w:rPr>
            </w:pPr>
          </w:p>
        </w:tc>
        <w:tc>
          <w:tcPr>
            <w:tcW w:w="820" w:type="dxa"/>
            <w:vAlign w:val="bottom"/>
          </w:tcPr>
          <w:p>
            <w:pPr>
              <w:jc w:val="right"/>
              <w:ind w:right="161"/>
              <w:spacing w:after="0"/>
              <w:rPr>
                <w:sz w:val="20"/>
                <w:szCs w:val="20"/>
                <w:color w:val="auto"/>
              </w:rPr>
            </w:pPr>
            <w:r>
              <w:rPr>
                <w:rFonts w:ascii="Arial" w:cs="Arial" w:eastAsia="Arial" w:hAnsi="Arial"/>
                <w:sz w:val="10"/>
                <w:szCs w:val="10"/>
                <w:b w:val="1"/>
                <w:bCs w:val="1"/>
                <w:color w:val="auto"/>
                <w:w w:val="93"/>
              </w:rPr>
              <w:t>July 31, 2020</w:t>
            </w:r>
          </w:p>
        </w:tc>
        <w:tc>
          <w:tcPr>
            <w:tcW w:w="0" w:type="dxa"/>
            <w:vAlign w:val="bottom"/>
          </w:tcPr>
          <w:p>
            <w:pPr>
              <w:spacing w:after="0"/>
              <w:rPr>
                <w:sz w:val="1"/>
                <w:szCs w:val="1"/>
                <w:color w:val="auto"/>
              </w:rPr>
            </w:pPr>
          </w:p>
        </w:tc>
      </w:tr>
      <w:tr>
        <w:trPr>
          <w:trHeight w:val="129"/>
        </w:trPr>
        <w:tc>
          <w:tcPr>
            <w:tcW w:w="686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Fixed rate, 6.50%, due 2021 (1)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Fixed rate, 6.75%, due 2023 (2)</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Fixed rate, 6.75%, due 2022, net of unamortized premium of $937 at July 31, 2020 (3)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475,937</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Fixed rate, 8.625%, due 2020 (4)</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357,000</w:t>
            </w: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Fixed rate, 5.375%, due 2026 (5)</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650,000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Fixed rate, 5.875%, due 2029 (5)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825,000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b w:val="1"/>
                <w:bCs w:val="1"/>
                <w:color w:val="auto"/>
              </w:rPr>
              <w:t>Secured senior notes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Fixed rate, 10.00%, due 2025, net of unamortized premium of $3,573 at July 31, 2020 (6)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703,573</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Notes payable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60" w:type="dxa"/>
            <w:vAlign w:val="bottom"/>
          </w:tcPr>
          <w:p>
            <w:pPr>
              <w:spacing w:after="0" w:line="135" w:lineRule="exact"/>
              <w:rPr>
                <w:sz w:val="20"/>
                <w:szCs w:val="20"/>
                <w:color w:val="auto"/>
              </w:rPr>
            </w:pPr>
            <w:r>
              <w:rPr>
                <w:rFonts w:ascii="Arial" w:cs="Arial" w:eastAsia="Arial" w:hAnsi="Arial"/>
                <w:sz w:val="12"/>
                <w:szCs w:val="12"/>
                <w:color w:val="auto"/>
                <w:w w:val="96"/>
              </w:rPr>
              <w:t>7.7% and 9.4% weighted average interest rate at April 30, 2021 and July 31, 2020, respectively, due 2021 to 2029, net of unamortized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discount of $296 and $537 at April 30, 2021 and July 31, 2020, respectively</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4,564</w:t>
            </w:r>
          </w:p>
        </w:tc>
        <w:tc>
          <w:tcPr>
            <w:tcW w:w="0" w:type="dxa"/>
            <w:vAlign w:val="bottom"/>
          </w:tcPr>
          <w:p>
            <w:pPr>
              <w:spacing w:after="0"/>
              <w:rPr>
                <w:sz w:val="1"/>
                <w:szCs w:val="1"/>
                <w:color w:val="auto"/>
              </w:rPr>
            </w:pPr>
          </w:p>
        </w:tc>
      </w:tr>
      <w:tr>
        <w:trPr>
          <w:trHeight w:val="133"/>
        </w:trPr>
        <w:tc>
          <w:tcPr>
            <w:tcW w:w="6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debt, excluding unamortized debt issuance and other costs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1,478,063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2,541,074</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Unamortized debt issuance and other costs</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(33,403)</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(35,583)</w:t>
            </w:r>
          </w:p>
        </w:tc>
        <w:tc>
          <w:tcPr>
            <w:tcW w:w="0" w:type="dxa"/>
            <w:vAlign w:val="bottom"/>
          </w:tcPr>
          <w:p>
            <w:pPr>
              <w:spacing w:after="0"/>
              <w:rPr>
                <w:sz w:val="1"/>
                <w:szCs w:val="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Less: current portion of long-term debt</w:t>
            </w: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1,565</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859,095</w:t>
            </w:r>
          </w:p>
        </w:tc>
        <w:tc>
          <w:tcPr>
            <w:tcW w:w="0" w:type="dxa"/>
            <w:vAlign w:val="bottom"/>
          </w:tcPr>
          <w:p>
            <w:pPr>
              <w:spacing w:after="0"/>
              <w:rPr>
                <w:sz w:val="1"/>
                <w:szCs w:val="1"/>
                <w:color w:val="auto"/>
              </w:rPr>
            </w:pPr>
          </w:p>
        </w:tc>
      </w:tr>
      <w:tr>
        <w:trPr>
          <w:trHeight w:val="140"/>
        </w:trPr>
        <w:tc>
          <w:tcPr>
            <w:tcW w:w="6860" w:type="dxa"/>
            <w:vAlign w:val="bottom"/>
          </w:tcPr>
          <w:p>
            <w:pPr>
              <w:spacing w:after="0" w:line="133" w:lineRule="exact"/>
              <w:rPr>
                <w:sz w:val="20"/>
                <w:szCs w:val="20"/>
                <w:color w:val="auto"/>
              </w:rPr>
            </w:pPr>
            <w:r>
              <w:rPr>
                <w:rFonts w:ascii="Arial" w:cs="Arial" w:eastAsia="Arial" w:hAnsi="Arial"/>
                <w:sz w:val="12"/>
                <w:szCs w:val="12"/>
                <w:b w:val="1"/>
                <w:bCs w:val="1"/>
                <w:color w:val="auto"/>
              </w:rPr>
              <w:t>Long-term debt</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1,443,095</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1,646,396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80" w:right="79" w:hanging="224"/>
        <w:spacing w:after="0" w:line="280" w:lineRule="auto"/>
        <w:tabs>
          <w:tab w:leader="none" w:pos="4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During November 2010, the operating partnership issued $500.0 million aggregate principal amount of 6.50% senior notes due 2021 (referred to herein as the 2021 Notes). The outstanding principal amount of the 2021 Notes was due on May 1, 2021. Prior to the Effective Date, the operating partnership delivered a notice of redemption of all of the issued and outstanding 2021 Notes pursuant the terms of the indenture governing the 2021 Notes, with a redemption date of April 5, 2021. On the Effective Date, the operating partnership (i) satisfied and discharged the indenture governing the 2021 Notes by irrevocably depositing with the trustee under such indenture funds in an amount sufficient to pay the redemption price for all of the 2021 Notes on April 5, 2021 and (ii) delivered irrevocable instructions directing the trustee to apply such funds to the redemption of the 2021 Notes on April 5, 2021. As a result, as of the Effective Date, the indenture governing the 2021 Notes ceased to be of further effect (except as to certain expressly surviving rights), and all of the issued and outstanding 2021 Notes were redeemed on April 5, 2021. The aggregate redemption price for the 2021 Notes was $513.9 million, consisting of principal and accrued and unpaid interest to the redemption date.</w:t>
      </w:r>
    </w:p>
    <w:p>
      <w:pPr>
        <w:spacing w:after="0" w:line="115" w:lineRule="exact"/>
        <w:rPr>
          <w:rFonts w:ascii="Arial" w:cs="Arial" w:eastAsia="Arial" w:hAnsi="Arial"/>
          <w:sz w:val="11"/>
          <w:szCs w:val="11"/>
          <w:color w:val="auto"/>
        </w:rPr>
      </w:pPr>
    </w:p>
    <w:p>
      <w:pPr>
        <w:ind w:left="480" w:right="39" w:hanging="224"/>
        <w:spacing w:after="0" w:line="280" w:lineRule="auto"/>
        <w:tabs>
          <w:tab w:leader="none" w:pos="4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During June 2015, the operating partnership issued $500.0 million aggregate principal amount of 6.75% senior notes due 2023 (referred to herein as the 2023 Notes). The outstanding principal amount of the 2023 Notes was due June 15, 2023. Prior to the Effective Date, the operating partnership delivered a notice of redemption of all of the issued and outstanding 2023 Notes pursuant the terms of the indenture governing the 2023 Notes, with a redemption date of April 5, 2021. On the Effective Date, the operating partnership (i) satisfied and discharged the indenture governing the 2023 Notes by irrevocably depositing with the trustee under such indenture funds in an amount sufficient to pay the redemption price for all of the 2023 Notes on April 5, 2021 and (ii) delivered irrevocable instructions directing the trustee to apply such funds to the redemption of the 2023 Notes on April 5, 2021. As a result, as of the Effective Date, the indenture governing the 2023 Notes ceased to be of further effect (except as to certain expressly surviving rights), and all of the issued and outstanding 2023 Notes were redeemed on April 5, 2021. The aggregate redemption price for the 2023 Notes was $518.8 million, consisting of principal, redemption premium and accrued and unpaid interest to the redemption date.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6" w:name="page17"/>
    <w:bookmarkEnd w:id="1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480" w:right="79" w:hanging="224"/>
        <w:spacing w:after="0" w:line="253" w:lineRule="auto"/>
        <w:tabs>
          <w:tab w:leader="none" w:pos="4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During fiscal 2014, the operating partnership issued $475.0 million aggregate principal amount of 6.75% senior notes due 2022 (referred to herein as the 2022 Notes), $325.0 million of which was issued at par and $150.0 million of which was issued at 104% of par. The outstanding principal amount of the 2022 Notes was due January 15, 2022. Prior to the Effective Date, the operating partnership delivered a notice of redemption of all of the issued and outstanding 2022 Notes pursuant the terms of the indenture governing the 2022 Notes with a redemption date of April 5, 2021. On the Effective Date, the operating partnership (i) satisfied and discharged the indenture governing the 2022 Notes by irrevocably depositing with the trustee under such indenture funds in an amount sufficient to pay the redemption price for all of the 2022 Notes on April 5, 2021 and (ii) delivered irrevocable instructions directing the trustee to apply such funds to the redemption of the 2022 Notes on April 5, 2021. As a result, as of the Effective Date, the indenture governing the 2022 Notes ceased to be of further effect (except as to certain expressly surviving rights), and all of the issued and outstanding 2022 Notes were redeemed on April 5, 2021. The aggregate redemption price for the 2022 Notes was $482.0 million, consisting of principal and accrued and unpaid interest to the redemption date.</w:t>
      </w:r>
    </w:p>
    <w:p>
      <w:pPr>
        <w:spacing w:after="0" w:line="130" w:lineRule="exact"/>
        <w:rPr>
          <w:rFonts w:ascii="Arial" w:cs="Arial" w:eastAsia="Arial" w:hAnsi="Arial"/>
          <w:sz w:val="12"/>
          <w:szCs w:val="12"/>
          <w:color w:val="auto"/>
        </w:rPr>
      </w:pPr>
    </w:p>
    <w:p>
      <w:pPr>
        <w:ind w:left="480" w:right="59" w:hanging="224"/>
        <w:spacing w:after="0" w:line="283" w:lineRule="auto"/>
        <w:tabs>
          <w:tab w:leader="none" w:pos="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During April 2010, Ferrellgas Partners issued $280.0 million aggregate principal amount of 8.625% unsecured senior notes due 2020 (referred to herein as the Ferrellgas Partners Notes). During March 2011, Ferrellgas Partners redeemed $98.0 million of the Ferrellgas Partners Notes. During January 2017, Ferrellgas Partners issued $175.0 million aggregate principal amount of additional Ferrellgas Partners Notes at 96% of par. The outstanding principal amount of the Ferrellgas Partners Notes was due on June 15, 2020, but had not been repaid and was classified as current on the consolidated balance sheet as of July 31, 2020. On the Effective Date, by operation of the Plan, all outstanding indebtedness under the Ferrellgas Partners Notes was discharged and cancelled. Pursuant to the Plan, Ferrellgas Partners issued an aggregate of 1.3 million Class B Units to holders of the Ferrellgas Partners Notes in satisfaction of their claims in respect of the Ferrellgas Partners Notes.</w:t>
      </w:r>
    </w:p>
    <w:p>
      <w:pPr>
        <w:spacing w:after="0" w:line="113" w:lineRule="exact"/>
        <w:rPr>
          <w:rFonts w:ascii="Arial" w:cs="Arial" w:eastAsia="Arial" w:hAnsi="Arial"/>
          <w:sz w:val="11"/>
          <w:szCs w:val="11"/>
          <w:color w:val="auto"/>
        </w:rPr>
      </w:pPr>
    </w:p>
    <w:p>
      <w:pPr>
        <w:ind w:left="480" w:right="39" w:hanging="224"/>
        <w:spacing w:after="0" w:line="281" w:lineRule="auto"/>
        <w:tabs>
          <w:tab w:leader="none" w:pos="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On the Effective Date, two wholly-owned subsidiaries of the operating partnership (referred to herein as the Escrow Issuers) issued $650.0 million aggregate principal amount of 5.375% senior notes due 2026 (referred to herein as the 2026 Notes) and $825.0 million aggregate principal amount of 5.875% senior notes due 2029 (referred to herein as the 2029 Notes). On the Effective Date and immediately after the issuance of the 2026 Notes and 2029 Notes by the Escrow Issuers, (i) the Escrow Issuers were merged into the operating partnership and Ferrellgas Finance Corp., respectively, and the operating partnership and Ferrellgas Finance Corp. assumed the obligations of the Escrow Issuers as co-issuers of the 2026 Notes and the 2029 Notes, and (ii) the general partner and certain subsidiaries of the operating partnership guaranteed the 2026 Notes and the 2029 Notes. The 2026 Notes and 2029 Notes bear interest from the date of issuance, payable semi-annually in arrears on October 1 and April 1 of each year. The 2026 Notes will mature on April 1, 2026, and the 2029 Notes will mature on April 1, 2029. See “–Senior unsecured notes” below for additional discussion.</w:t>
      </w:r>
    </w:p>
    <w:p>
      <w:pPr>
        <w:spacing w:after="0" w:line="115" w:lineRule="exact"/>
        <w:rPr>
          <w:rFonts w:ascii="Arial" w:cs="Arial" w:eastAsia="Arial" w:hAnsi="Arial"/>
          <w:sz w:val="11"/>
          <w:szCs w:val="11"/>
          <w:color w:val="auto"/>
        </w:rPr>
      </w:pPr>
    </w:p>
    <w:p>
      <w:pPr>
        <w:ind w:left="480" w:right="119" w:hanging="224"/>
        <w:spacing w:after="0" w:line="285" w:lineRule="auto"/>
        <w:tabs>
          <w:tab w:leader="none" w:pos="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During April 2020, the operating partnership issued $700.0 million aggregate principal amount of 10.00% senior secured notes due 2025 (referred to herein as the 2025 Notes), $575.0 million of which was issued at par and $125.0 million of which was issued at 103% of par. The outstanding principal amount of the 2025 Notes was due on April 15, 2025. Prior to the Effective Date, the operating partnership delivered a notice of redemption of all of the issued and outstanding 2025 Notes pursuant the terms of the indenture governing the 2025 Notes, with a redemption date of March 30, 2021, and all of the issued and outstanding 2025 Notes were redeemed on the Effective Date. The aggregate redemption price for the 2025 Notes was $806.2 million, consisting of principal, redemption premium and accrued and unpaid interest to the redemption date.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Senior secured revolving credit facility</w:t>
      </w:r>
    </w:p>
    <w:p>
      <w:pPr>
        <w:spacing w:after="0" w:line="150"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the Effective Date, the operating partnership, the general partner and certain of the operating partnership’s subsidiaries entered into a Credit Agreement (the “Credit Agreement”), which provides for a four-year revolving credit facility (the “Credit Facility”) in an aggregate principal amount of up to $350.0 million, including a sublimit not to exceed $225.0 million for the issuance of letters of credit for a period of 60 days after March 30, 2021, reducing to $200.0 million thereafter.</w:t>
      </w:r>
    </w:p>
    <w:p>
      <w:pPr>
        <w:spacing w:after="0" w:line="122"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All borrowings under the Credit Facility are guaranteed by the general partner and the direct and indirect subsidiaries of the operating partnership (other than Ferrellgas Finance Corp. and Ferrellgas Receivables, LLC) and a limited-recourse guaranty from Ferrellgas Partners (limited to its equity interests in the operating partnership). Additionally, all</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7" w:name="page18"/>
    <w:bookmarkEnd w:id="1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borrowings are secured, on a first priority basis, by substantially all of the assets of the operating partnership and its subsidiaries and all of the equity interests in the operating partnership held by the general partner and Ferrellgas Partners.</w:t>
      </w:r>
    </w:p>
    <w:p>
      <w:pPr>
        <w:spacing w:after="0" w:line="115" w:lineRule="exact"/>
        <w:rPr>
          <w:sz w:val="20"/>
          <w:szCs w:val="20"/>
          <w:color w:val="auto"/>
        </w:rPr>
      </w:pPr>
    </w:p>
    <w:p>
      <w:pPr>
        <w:ind w:left="20" w:right="139"/>
        <w:spacing w:after="0" w:line="285" w:lineRule="auto"/>
        <w:rPr>
          <w:sz w:val="20"/>
          <w:szCs w:val="20"/>
          <w:color w:val="auto"/>
        </w:rPr>
      </w:pPr>
      <w:r>
        <w:rPr>
          <w:rFonts w:ascii="Arial" w:cs="Arial" w:eastAsia="Arial" w:hAnsi="Arial"/>
          <w:sz w:val="11"/>
          <w:szCs w:val="11"/>
          <w:color w:val="auto"/>
        </w:rPr>
        <w:t>Availability under the Credit Facility is, at any time, an amount equal to (a) the lesser of the revolving commitment (initially $350.0 million) and the Borrowing Base (as defined below) minus (b) the sum of the aggregate outstanding amount of borrowings under Credit Facility plus the undrawn amount of outstanding letters of credit under the Credit Facility plus unreimbursed drawings in respect of letters of credit (unless otherwise converted into revolving loans). The "Borrowing Base" equals the sum of: (a) $200.0 million, plus (b) 80% of the eligible accounts receivable of the operating partnership and its subsidiaries, plus (c) 70% of the eligible propane inventory of the operating partnership and its subsidiaries, valued at weighted average cost, less (d) certain reserves, as determined and subject to certain modifications by the administrative agent in its permitted discretion.</w:t>
      </w:r>
    </w:p>
    <w:p>
      <w:pPr>
        <w:spacing w:after="0" w:line="113"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 xml:space="preserve">Amounts borrowed under the Credit Facility bear interest, at the operating partnership's option, at either (a) for base rate loans, (i) a base rate determined by reference to the highest of (A) the rate of interest last quoted by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in the U.S. as the prime rate in effect, (B) the NYFRB Rate from time to time plus 0.50% per annum and (C) the Adjusted LIBO Rate for a one-month interest period plus 1.00% per annum plus (ii) a margin of 1.50% to 2.00% per annum depending on total net leverage or (b) for Eurodollar rate loans, (i) a rate determined by reference to the Adjusted LIBO Rate plus (ii) a margin of 2.50% to 3.00% per annum depending on total net leverage. The operating partnership will be required to pay an undrawn fee to the lenders on the average daily unused amount of the Credit Facility at a rate of 0.375% to 0.50% per annum depending on total net leverage.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Credit Agreement contains customary representations, warranties, covenants and events of default.</w:t>
      </w:r>
    </w:p>
    <w:p>
      <w:pPr>
        <w:spacing w:after="0" w:line="150" w:lineRule="exact"/>
        <w:rPr>
          <w:sz w:val="20"/>
          <w:szCs w:val="20"/>
          <w:color w:val="auto"/>
        </w:rPr>
      </w:pPr>
    </w:p>
    <w:p>
      <w:pPr>
        <w:jc w:val="both"/>
        <w:ind w:left="20" w:right="119"/>
        <w:spacing w:after="0" w:line="306" w:lineRule="auto"/>
        <w:rPr>
          <w:sz w:val="20"/>
          <w:szCs w:val="20"/>
          <w:color w:val="auto"/>
        </w:rPr>
      </w:pPr>
      <w:r>
        <w:rPr>
          <w:rFonts w:ascii="Arial" w:cs="Arial" w:eastAsia="Arial" w:hAnsi="Arial"/>
          <w:sz w:val="10"/>
          <w:szCs w:val="10"/>
          <w:color w:val="auto"/>
        </w:rPr>
        <w:t>The financial covenants in the Credit Agreement require the operating partnership to maintain: (1) a minimum interest coverage ratio (defined generally as the ratio of adjusted EBITDA to cash interest expense) of 2.50 to 1.00, (2) a maximum secured leverage ratio (defined generally as the ratio of total first priority secured indebtedness to adjusted EBITDA) of 2.50 to 1.00, and (3) a maximum total net leverage ratio (defined generally as the ratio of total indebtedness (net of unrestricted cash, subject to certain limits) to adjusted EBITDA) of 5.50 to</w:t>
      </w:r>
    </w:p>
    <w:p>
      <w:pPr>
        <w:spacing w:after="0" w:line="1" w:lineRule="exact"/>
        <w:rPr>
          <w:sz w:val="20"/>
          <w:szCs w:val="20"/>
          <w:color w:val="auto"/>
        </w:rPr>
      </w:pPr>
    </w:p>
    <w:p>
      <w:pPr>
        <w:jc w:val="both"/>
        <w:ind w:left="20" w:right="99"/>
        <w:spacing w:after="0" w:line="260" w:lineRule="auto"/>
        <w:rPr>
          <w:sz w:val="20"/>
          <w:szCs w:val="20"/>
          <w:color w:val="auto"/>
        </w:rPr>
      </w:pPr>
      <w:r>
        <w:rPr>
          <w:rFonts w:ascii="Arial" w:cs="Arial" w:eastAsia="Arial" w:hAnsi="Arial"/>
          <w:sz w:val="12"/>
          <w:szCs w:val="12"/>
          <w:color w:val="auto"/>
        </w:rPr>
        <w:t>1.00 initially. The maximum total net leverage ratio adjusts to 5.25 to 1.00 starting with the quarter ending April 30, 2022, 5.00 to 1.00 starting with the quarter ending October 31, 2022, and 4.75 to 1.00 starting with the quarter ending April 30, 2023.</w:t>
      </w:r>
    </w:p>
    <w:p>
      <w:pPr>
        <w:spacing w:after="0" w:line="124"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In addition to the financial covenants, the Credit Agreement includes covenants that may (or if not met will) restrict the ability of the operating partnership to, among other things: incur indebtedness or liens; effect certain fundamental changes, including mergers, consolidations, liquidations, dissolutions and changes in line of business; make certain restricted payments, including distributions to holders of Preferred Units, Ferrellgas Partners and the general partner and redemptions of Preferred Units; make investments, loans or advances; dispose of assets; effect sale and leaseback transactions; enter into swap agreements; make optional payments and modifications of subordinated and other debt instruments; enter into transactions with affiliates; agree to negative pledge clauses and burdensome agreements; and effect amendments to organizational documents.</w:t>
      </w:r>
    </w:p>
    <w:p>
      <w:pPr>
        <w:spacing w:after="0" w:line="113"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Credit Agreement and (ii) only if availability under the Credit Facility exceeds the greater of $50.0 million and 15% of the Borrowing Base and the operating partnership’s total net leverage ratio is not greater than 5.0 to 1.0 (or 4.75 to 1.0 starting on April 30, 2023).</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On June 11, 2021, Ferrellgas entered into the First Amendment to the Credit Agreement. See Note O – Subsequent events for further discussion.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Senior unsecured notes</w:t>
      </w:r>
    </w:p>
    <w:p>
      <w:pPr>
        <w:spacing w:after="0" w:line="150"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As discussed above, on the Effective Date, (i) the Escrow Issuers issued $650.0 million aggregate principal amount of 2026 Notes and $825.0 million aggregate principal amount of 2029 Notes, and (ii) the operating partnership and Ferrellgas Finance Corp. assumed the obligations of the Escrow Issuers as co-issuers of the 2026 Notes and the 2029 Notes upon the merger of the Escrow Issuers into the operating partnership and Ferrellgas Finance Corp., respectively. The operating partnership received aggregate net proceeds from the issuance and sale of the 2026 Notes and the 2029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8" w:name="page19"/>
    <w:bookmarkEnd w:id="1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Notes of approximately $1,446.5 million, after deducting the initial purchaser’s discount and estimated offering expenses. The operating partnership used such net proceeds, together with the net proceeds of the issuance and sale of the Preferred Units, as discussed in Note G – Preferred units, and cash on hand, (i) to redeem (or satisfy and discharge the indentures governing and subsequently redeem) all of the issued and outstanding 2021 Notes, 2022 Notes, 2023 Notes and 2025 Notes, as described above, and (ii) to repay all outstanding obligations under the Accounts Receivable Facility in connection with the termination of that facility, as described in Note E – Accounts and notes receivable, net.</w:t>
      </w:r>
    </w:p>
    <w:p>
      <w:pPr>
        <w:spacing w:after="0" w:line="111" w:lineRule="exact"/>
        <w:rPr>
          <w:sz w:val="20"/>
          <w:szCs w:val="20"/>
          <w:color w:val="auto"/>
        </w:rPr>
      </w:pPr>
    </w:p>
    <w:p>
      <w:pPr>
        <w:ind w:left="20" w:right="139"/>
        <w:spacing w:after="0" w:line="379" w:lineRule="auto"/>
        <w:rPr>
          <w:sz w:val="20"/>
          <w:szCs w:val="20"/>
          <w:color w:val="auto"/>
        </w:rPr>
      </w:pPr>
      <w:r>
        <w:rPr>
          <w:rFonts w:ascii="Arial" w:cs="Arial" w:eastAsia="Arial" w:hAnsi="Arial"/>
          <w:sz w:val="10"/>
          <w:szCs w:val="10"/>
          <w:color w:val="auto"/>
        </w:rPr>
        <w:t>The 2026 Notes and 2029 Notes are the senior unsecured obligations of the operating partnership and Ferrellgas Finance Corp. and are unconditionally guaranteed, jointly and severally, on a senior unsecured basis by the general partner and all domestic subsidiaries of the operating partnership other than Ferrellgas Finance Corp. and Ferrellgas Receivables, LLC.</w:t>
      </w:r>
    </w:p>
    <w:p>
      <w:pPr>
        <w:spacing w:after="0" w:line="69" w:lineRule="exact"/>
        <w:rPr>
          <w:sz w:val="20"/>
          <w:szCs w:val="20"/>
          <w:color w:val="auto"/>
        </w:rPr>
      </w:pPr>
    </w:p>
    <w:p>
      <w:pPr>
        <w:ind w:left="20" w:right="39"/>
        <w:spacing w:after="0" w:line="289" w:lineRule="auto"/>
        <w:rPr>
          <w:sz w:val="20"/>
          <w:szCs w:val="20"/>
          <w:color w:val="auto"/>
        </w:rPr>
      </w:pPr>
      <w:r>
        <w:rPr>
          <w:rFonts w:ascii="Arial" w:cs="Arial" w:eastAsia="Arial" w:hAnsi="Arial"/>
          <w:sz w:val="11"/>
          <w:szCs w:val="11"/>
          <w:color w:val="auto"/>
        </w:rPr>
        <w:t>The 2026 Notes may be redeemed prior to April 1, 2023 and the 2029 Notes may be redeemed prior to April 1, 2024 at the issuer’s option, in whole or in part, at a redemption price of par plus the applicable make-whole premium and accrued and unpaid interest. On and after April 1, 2023 and April 1, 2024, the 2026 Notes and the 2029 Notes, respectively, may be redeemed at the issuer’s option, in whole or in part, at the redemption prices set forth in the respective indenture governing such notes, plus accrued and unpaid interest. Beginning on April 1, 2025 and April 1, 2026, the 2026 Notes and 2029 Notes, respectively, may be redeemed at par plus accrued and unpaid interest.</w:t>
      </w:r>
    </w:p>
    <w:p>
      <w:pPr>
        <w:spacing w:after="0" w:line="111" w:lineRule="exact"/>
        <w:rPr>
          <w:sz w:val="20"/>
          <w:szCs w:val="20"/>
          <w:color w:val="auto"/>
        </w:rPr>
      </w:pPr>
    </w:p>
    <w:p>
      <w:pPr>
        <w:ind w:left="20" w:right="199"/>
        <w:spacing w:after="0" w:line="320" w:lineRule="auto"/>
        <w:rPr>
          <w:sz w:val="20"/>
          <w:szCs w:val="20"/>
          <w:color w:val="auto"/>
        </w:rPr>
      </w:pPr>
      <w:r>
        <w:rPr>
          <w:rFonts w:ascii="Arial" w:cs="Arial" w:eastAsia="Arial" w:hAnsi="Arial"/>
          <w:sz w:val="10"/>
          <w:szCs w:val="10"/>
          <w:color w:val="auto"/>
        </w:rPr>
        <w:t>The indentures governing the 2026 Notes and 2029 Notes contain customary affirmative and negative covenants restricting, among other things, the ability of the operating partnership and its restricted subsidiaries to: incur additional indebtedness and guarantee indebtedness; pay dividends or make other distributions (including distributions to holders of Preferred Units, Ferrellgas Partners and the general partner) or repurchase or redeem their equity interests (including redemptions of Preferred Units); repurchase or redeem certain debt; make certain other restricted payments or investments; sell assets, incur liens, enter into transactions with affiliates, enter into agreements restricting the operating partnership’s subsidiaries’ ability to pay dividends; and consolidate, merge or sell all or substantially of their assets. The indentures also restrict the ability of the general partner to engage in certain activities.</w:t>
      </w:r>
    </w:p>
    <w:p>
      <w:pPr>
        <w:spacing w:after="0" w:line="97" w:lineRule="exact"/>
        <w:rPr>
          <w:sz w:val="20"/>
          <w:szCs w:val="20"/>
          <w:color w:val="auto"/>
        </w:rPr>
      </w:pPr>
    </w:p>
    <w:p>
      <w:pPr>
        <w:ind w:left="20" w:right="119"/>
        <w:spacing w:after="0" w:line="281" w:lineRule="auto"/>
        <w:rPr>
          <w:sz w:val="20"/>
          <w:szCs w:val="20"/>
          <w:color w:val="auto"/>
        </w:rPr>
      </w:pPr>
      <w:r>
        <w:rPr>
          <w:rFonts w:ascii="Arial" w:cs="Arial" w:eastAsia="Arial" w:hAnsi="Arial"/>
          <w:sz w:val="11"/>
          <w:szCs w:val="11"/>
          <w:color w:val="auto"/>
        </w:rPr>
        <w:t>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indentures and (ii) only if the operating partnership’s net leverage ratio (defined generally to mean the ratio of consolidated total net debt to trailing four quarters consolidated EBITDA, both as adjusted for certain, specified items) is not greater than 5.0 to 1.0, on a pro forma basis giving effect to the restricted payment and, if applicable, certain other specified events. Further, if the operating partnership’s consolidated fixed charge coverage ratio (defined generally to mean the ratio of trailing four quarters consolidated EBITDA to consolidated fixed charges, both as adjusted for certain, specified items) is equal to or less than 1.75 to 1.00 (on a pro forma basis giving effect to the restricted payment and, if applicable, certain other specified events), the amount of distributions and other restricted payments the operating partnership is permitted to make under the indentures is further limited.</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scheduled principal payments on long-term debt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ind w:right="463"/>
              <w:spacing w:after="0"/>
              <w:rPr>
                <w:sz w:val="20"/>
                <w:szCs w:val="20"/>
                <w:color w:val="auto"/>
              </w:rPr>
            </w:pPr>
            <w:r>
              <w:rPr>
                <w:rFonts w:ascii="Arial" w:cs="Arial" w:eastAsia="Arial" w:hAnsi="Arial"/>
                <w:sz w:val="10"/>
                <w:szCs w:val="10"/>
                <w:b w:val="1"/>
                <w:bCs w:val="1"/>
                <w:color w:val="auto"/>
              </w:rPr>
              <w:t>Scheduled</w:t>
            </w:r>
          </w:p>
        </w:tc>
      </w:tr>
      <w:tr>
        <w:trPr>
          <w:trHeight w:val="113"/>
        </w:trPr>
        <w:tc>
          <w:tcPr>
            <w:tcW w:w="74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Payment due by fiscal year</w:t>
            </w:r>
          </w:p>
        </w:tc>
        <w:tc>
          <w:tcPr>
            <w:tcW w:w="200" w:type="dxa"/>
            <w:vAlign w:val="bottom"/>
          </w:tcPr>
          <w:p>
            <w:pPr>
              <w:spacing w:after="0"/>
              <w:rPr>
                <w:sz w:val="9"/>
                <w:szCs w:val="9"/>
                <w:color w:val="auto"/>
              </w:rPr>
            </w:pPr>
          </w:p>
        </w:tc>
        <w:tc>
          <w:tcPr>
            <w:tcW w:w="1280" w:type="dxa"/>
            <w:vAlign w:val="bottom"/>
          </w:tcPr>
          <w:p>
            <w:pPr>
              <w:jc w:val="right"/>
              <w:ind w:right="283"/>
              <w:spacing w:after="0" w:line="114" w:lineRule="exact"/>
              <w:rPr>
                <w:sz w:val="20"/>
                <w:szCs w:val="20"/>
                <w:color w:val="auto"/>
              </w:rPr>
            </w:pPr>
            <w:r>
              <w:rPr>
                <w:rFonts w:ascii="Arial" w:cs="Arial" w:eastAsia="Arial" w:hAnsi="Arial"/>
                <w:sz w:val="10"/>
                <w:szCs w:val="10"/>
                <w:b w:val="1"/>
                <w:bCs w:val="1"/>
                <w:color w:val="auto"/>
              </w:rPr>
              <w:t>principal payments</w:t>
            </w:r>
          </w:p>
        </w:tc>
      </w:tr>
      <w:tr>
        <w:trPr>
          <w:trHeight w:val="133"/>
        </w:trPr>
        <w:tc>
          <w:tcPr>
            <w:tcW w:w="72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2021</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580</w:t>
            </w:r>
          </w:p>
        </w:tc>
      </w:tr>
      <w:tr>
        <w:trPr>
          <w:trHeight w:val="144"/>
        </w:trPr>
        <w:tc>
          <w:tcPr>
            <w:tcW w:w="7260" w:type="dxa"/>
            <w:vAlign w:val="bottom"/>
          </w:tcPr>
          <w:p>
            <w:pPr>
              <w:spacing w:after="0"/>
              <w:rPr>
                <w:sz w:val="20"/>
                <w:szCs w:val="20"/>
                <w:color w:val="auto"/>
              </w:rPr>
            </w:pPr>
            <w:r>
              <w:rPr>
                <w:rFonts w:ascii="Arial" w:cs="Arial" w:eastAsia="Arial" w:hAnsi="Arial"/>
                <w:sz w:val="12"/>
                <w:szCs w:val="12"/>
                <w:color w:val="auto"/>
              </w:rPr>
              <w:t>2022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1,335</w:t>
            </w:r>
          </w:p>
        </w:tc>
      </w:tr>
      <w:tr>
        <w:trPr>
          <w:trHeight w:val="144"/>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44"/>
        </w:trPr>
        <w:tc>
          <w:tcPr>
            <w:tcW w:w="7260" w:type="dxa"/>
            <w:vAlign w:val="bottom"/>
          </w:tcPr>
          <w:p>
            <w:pPr>
              <w:spacing w:after="0"/>
              <w:rPr>
                <w:sz w:val="20"/>
                <w:szCs w:val="20"/>
                <w:color w:val="auto"/>
              </w:rPr>
            </w:pPr>
            <w:r>
              <w:rPr>
                <w:rFonts w:ascii="Arial" w:cs="Arial" w:eastAsia="Arial" w:hAnsi="Arial"/>
                <w:sz w:val="12"/>
                <w:szCs w:val="12"/>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329</w:t>
            </w:r>
          </w:p>
        </w:tc>
      </w:tr>
      <w:tr>
        <w:trPr>
          <w:trHeight w:val="144"/>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1,475,019</w:t>
            </w:r>
          </w:p>
        </w:tc>
      </w:tr>
      <w:tr>
        <w:trPr>
          <w:trHeight w:val="140"/>
        </w:trPr>
        <w:tc>
          <w:tcPr>
            <w:tcW w:w="748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1,478,361</w:t>
            </w:r>
          </w:p>
        </w:tc>
      </w:tr>
    </w:tbl>
    <w:p>
      <w:pPr>
        <w:ind w:left="20" w:right="79"/>
        <w:spacing w:after="0" w:line="253" w:lineRule="auto"/>
        <w:rPr>
          <w:sz w:val="20"/>
          <w:szCs w:val="20"/>
          <w:color w:val="auto"/>
        </w:rPr>
      </w:pPr>
      <w:r>
        <w:rPr>
          <w:rFonts w:ascii="Arial" w:cs="Arial" w:eastAsia="Arial" w:hAnsi="Arial"/>
          <w:sz w:val="12"/>
          <w:szCs w:val="12"/>
          <w:color w:val="auto"/>
        </w:rPr>
        <w:t>Letters of credit outstanding at April 30, 2021 and July 31, 2020 totaled $138.2 million and $126.0 million, respectively, and were used to secure insurance arrangements, product purchases and commodity hedges. As of April 30, 2021, Ferrellgas had available borrowing capacity under its Credit Facility of $211.8 million, which included remaining available letter of credit capacity of $86.8 million. At July 31, 2020, Ferrellgas did not have in place a credit facility providing for the issuance of letters of credit and had $78.2 million of restricted cash pledged as cash collateral for letters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9" w:name="page20"/>
    <w:bookmarkEnd w:id="1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of credit outstanding. Additionally, at July 31, 2020, Ferrellgas also issued letters of credit of $50.0 million by utilizing our liquidity available on the terminated Accounts Receivable Facility.</w:t>
      </w:r>
    </w:p>
    <w:p>
      <w:pPr>
        <w:spacing w:after="0" w:line="111" w:lineRule="exact"/>
        <w:rPr>
          <w:sz w:val="20"/>
          <w:szCs w:val="20"/>
          <w:color w:val="auto"/>
        </w:rPr>
      </w:pPr>
    </w:p>
    <w:p>
      <w:pPr>
        <w:ind w:left="260" w:hanging="238"/>
        <w:spacing w:after="0"/>
        <w:tabs>
          <w:tab w:leader="none" w:pos="260"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Preferred units</w:t>
      </w:r>
    </w:p>
    <w:p>
      <w:pPr>
        <w:spacing w:after="0" w:line="154" w:lineRule="exact"/>
        <w:rPr>
          <w:sz w:val="20"/>
          <w:szCs w:val="20"/>
          <w:color w:val="auto"/>
        </w:rPr>
      </w:pPr>
    </w:p>
    <w:p>
      <w:pPr>
        <w:ind w:left="20" w:right="79"/>
        <w:spacing w:after="0" w:line="304" w:lineRule="auto"/>
        <w:rPr>
          <w:sz w:val="20"/>
          <w:szCs w:val="20"/>
          <w:color w:val="auto"/>
        </w:rPr>
      </w:pPr>
      <w:r>
        <w:rPr>
          <w:rFonts w:ascii="Arial" w:cs="Arial" w:eastAsia="Arial" w:hAnsi="Arial"/>
          <w:sz w:val="10"/>
          <w:szCs w:val="10"/>
          <w:color w:val="auto"/>
        </w:rPr>
        <w:t>On the Effective Date, pursuant to the Investment Agreement, the operating partnership issued an aggregate of 700,000 Preferred Units, having an aggregate initial liquidation preference of $700.0 million. The purchase price per Preferred Unit was $1,000 less a 3.0% purchase price discount, for an aggregate purchase price of $679.0 million. The operating partnership received net proceeds from the issuance and sale of the Preferred Units of approximately $651.8 million, after deduction of the purchase price discount and certain expenses. The operating partnership used such net proceeds, together with the net proceeds of the issuance and sale of the 2026 Notes and the 2029 Notes and cash on hand, (i) to redeem (or satisfy and discharge the indentures governing and subsequently redeem) all of the issued and outstanding 2021 Notes, 2022 Notes, 2023 Notes and 2025 Notes, as described in Note F - Debt, and</w:t>
      </w:r>
    </w:p>
    <w:p>
      <w:pPr>
        <w:spacing w:after="0" w:line="1" w:lineRule="exact"/>
        <w:rPr>
          <w:sz w:val="20"/>
          <w:szCs w:val="20"/>
          <w:color w:val="auto"/>
        </w:rPr>
      </w:pPr>
    </w:p>
    <w:p>
      <w:pPr>
        <w:ind w:left="200" w:hanging="178"/>
        <w:spacing w:after="0"/>
        <w:tabs>
          <w:tab w:leader="none" w:pos="2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to repay all outstanding obligations under the Accounts Receivable Facility in connection with the termination of that facility, as described in Note E – Accounts and notes receivable,</w:t>
      </w:r>
    </w:p>
    <w:p>
      <w:pPr>
        <w:spacing w:after="0" w:line="17" w:lineRule="exact"/>
        <w:rPr>
          <w:rFonts w:ascii="Arial" w:cs="Arial" w:eastAsia="Arial" w:hAnsi="Arial"/>
          <w:sz w:val="11"/>
          <w:szCs w:val="11"/>
          <w:color w:val="auto"/>
        </w:rPr>
      </w:pPr>
    </w:p>
    <w:p>
      <w:pPr>
        <w:ind w:left="20"/>
        <w:spacing w:after="0"/>
        <w:rPr>
          <w:rFonts w:ascii="Arial" w:cs="Arial" w:eastAsia="Arial" w:hAnsi="Arial"/>
          <w:sz w:val="11"/>
          <w:szCs w:val="11"/>
          <w:color w:val="auto"/>
        </w:rPr>
      </w:pPr>
      <w:r>
        <w:rPr>
          <w:rFonts w:ascii="Arial" w:cs="Arial" w:eastAsia="Arial" w:hAnsi="Arial"/>
          <w:sz w:val="12"/>
          <w:szCs w:val="12"/>
          <w:color w:val="auto"/>
        </w:rPr>
        <w:t>net.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summarizes the changes in the number of the Preferred Units: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52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Preferred Units</w:t>
            </w:r>
          </w:p>
        </w:tc>
      </w:tr>
      <w:tr>
        <w:trPr>
          <w:trHeight w:val="133"/>
        </w:trPr>
        <w:tc>
          <w:tcPr>
            <w:tcW w:w="7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January 31, 2021</w:t>
            </w:r>
          </w:p>
        </w:tc>
        <w:tc>
          <w:tcPr>
            <w:tcW w:w="1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Preferred units issued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700,000</w:t>
            </w:r>
          </w:p>
        </w:tc>
      </w:tr>
      <w:tr>
        <w:trPr>
          <w:trHeight w:val="140"/>
        </w:trPr>
        <w:tc>
          <w:tcPr>
            <w:tcW w:w="75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April 30, 2021</w:t>
            </w:r>
          </w:p>
        </w:tc>
        <w:tc>
          <w:tcPr>
            <w:tcW w:w="1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700,000</w:t>
            </w:r>
          </w:p>
        </w:tc>
      </w:tr>
    </w:tbl>
    <w:p>
      <w:pPr>
        <w:spacing w:after="0" w:line="279"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The preferences, rights, privileges and other terms of the Preferred Units are set forth in the OpCo LPA Amendment entered into by the general partner on the Effective Date (along with the Amended OpCo LPA) and are described below.</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Issuer Redemption Right</w:t>
      </w:r>
    </w:p>
    <w:p>
      <w:pPr>
        <w:spacing w:after="0" w:line="132" w:lineRule="exact"/>
        <w:rPr>
          <w:sz w:val="20"/>
          <w:szCs w:val="20"/>
          <w:color w:val="auto"/>
        </w:rPr>
      </w:pPr>
    </w:p>
    <w:p>
      <w:pPr>
        <w:ind w:left="20" w:right="79"/>
        <w:spacing w:after="0" w:line="254" w:lineRule="auto"/>
        <w:rPr>
          <w:sz w:val="20"/>
          <w:szCs w:val="20"/>
          <w:color w:val="auto"/>
        </w:rPr>
      </w:pPr>
      <w:r>
        <w:rPr>
          <w:rFonts w:ascii="Arial" w:cs="Arial" w:eastAsia="Arial" w:hAnsi="Arial"/>
          <w:sz w:val="12"/>
          <w:szCs w:val="12"/>
          <w:color w:val="auto"/>
        </w:rPr>
        <w:t>The operating partnership has the right to redeem all or a portion of the Preferred Units for cash, pro rata and at any time and from time to time, including in connection with a Change of Control (as defined in the OpCo LPA Amendment), at an amount per Preferred Unit (the “Redemption Price”) equal to, without duplication, the sum of (a) the greater of (i) the amount necessary to result in a MOIC (as defined below) of 1.47x in respect of the purchase price, before discount, of such Preferred Unit, which is $1,000 per Preferred Unit (the “Purchase Price”), and (ii) the amount necessary to result in the applicable internal rate of return equal to 12.25%, which is increased by 150 basis points if the operating partnership has elected to pay more than four Quarterly Distributions (as defined below) in PIK Units (as defined below) and (b) the accumulated but unpaid Quarterly Distributions to the date of redemption, if any. A partial redemption of the Preferred Units is permitted only in the event the aggregate amount to be paid in respect of all Preferred Units included in such partial redemption is at least $25.0 million.</w:t>
      </w:r>
    </w:p>
    <w:p>
      <w:pPr>
        <w:spacing w:after="0" w:line="103"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MOIC</w:t>
      </w:r>
      <w:r>
        <w:rPr>
          <w:rFonts w:ascii="Arial" w:cs="Arial" w:eastAsia="Arial" w:hAnsi="Arial"/>
          <w:sz w:val="12"/>
          <w:szCs w:val="12"/>
          <w:color w:val="auto"/>
        </w:rPr>
        <w:t>” means, with respect to a Preferred Unit, a multiple on invested capital equal to the quotient determined by dividing (A) the sum of (x) the aggregate amount of all distributions made in cash with respect to such Preferred Unit prior to the applicable date of determination, with certain exclusions, plus (y) each Redemption Price paid in cash in respect of such Preferred Unit, on or prior to the applicable date of determination, by (B) the Purchase Price of such Preferred Unit.</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Investor Redemption Right</w:t>
      </w:r>
    </w:p>
    <w:p>
      <w:pPr>
        <w:spacing w:after="0" w:line="132" w:lineRule="exact"/>
        <w:rPr>
          <w:sz w:val="20"/>
          <w:szCs w:val="20"/>
          <w:color w:val="auto"/>
        </w:rPr>
      </w:pPr>
    </w:p>
    <w:p>
      <w:pPr>
        <w:ind w:left="20" w:right="119"/>
        <w:spacing w:after="0" w:line="326" w:lineRule="auto"/>
        <w:rPr>
          <w:sz w:val="20"/>
          <w:szCs w:val="20"/>
          <w:color w:val="auto"/>
        </w:rPr>
      </w:pPr>
      <w:r>
        <w:rPr>
          <w:rFonts w:ascii="Arial" w:cs="Arial" w:eastAsia="Arial" w:hAnsi="Arial"/>
          <w:sz w:val="10"/>
          <w:szCs w:val="10"/>
          <w:color w:val="auto"/>
        </w:rPr>
        <w:t>In the event that (i) any Class B Units are outstanding, or (ii) (x) no Class B Units are outstanding and (y) no more than 233,300 Preferred Units are outstanding, at any time on and after the tenth anniversary of the Effective Date the Required Holders may elect, by delivery of written notice, to have the operating partnership fully redeem each remaining outstanding Preferred Unit for an amount in cash equal to the Redemption Price. “Required Holders” refers to both (i) holders owning at least 33.3% of the total Preferred Units outstanding at any time and (ii) certain initial affiliated purchasers, for so long as such initial affiliated purchasers collectively own at least 25% of the Preferred Units outstanding at such time.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0" w:name="page21"/>
    <w:bookmarkEnd w:id="2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In the event that (i) no Class B Units are outstanding and (ii) more than 233,300 Preferred Units are outstanding, the Required Holders will have the right to trigger a sale of the operating partnership after the tenth anniversary of the Effective Date. If the operating partnership fails to consummate a sale that would pay the Redemption Price in full within 180 days of written notice requiring such sale, the Required Holders will have the right to appoint a majority of the members of the Board of Directors of the general partner and initiate a sale of the operating partnership.</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Change of Control</w:t>
      </w:r>
    </w:p>
    <w:p>
      <w:pPr>
        <w:spacing w:after="0" w:line="123" w:lineRule="exact"/>
        <w:rPr>
          <w:sz w:val="20"/>
          <w:szCs w:val="20"/>
          <w:color w:val="auto"/>
        </w:rPr>
      </w:pPr>
    </w:p>
    <w:p>
      <w:pPr>
        <w:ind w:left="20" w:right="79"/>
        <w:spacing w:after="0" w:line="289" w:lineRule="auto"/>
        <w:rPr>
          <w:sz w:val="20"/>
          <w:szCs w:val="20"/>
          <w:color w:val="auto"/>
        </w:rPr>
      </w:pPr>
      <w:r>
        <w:rPr>
          <w:rFonts w:ascii="Arial" w:cs="Arial" w:eastAsia="Arial" w:hAnsi="Arial"/>
          <w:sz w:val="11"/>
          <w:szCs w:val="11"/>
          <w:color w:val="auto"/>
        </w:rPr>
        <w:t>Upon a Change of Control (as defined in the OpCo LPA Amendment), the Required Holders will have the option to require the redemption of all or a portion of the Preferred Units in cash in an amount equal to the Redemption Price; provided, that such Redemption Price shall not be payable unless the operating partnership shall have first made any required change of control offer pursuant to the indentures governing the 2026 Notes and the 2029 Notes and purchased all such 2026 Notes and 2029 Notes tendered pursuant to such offer (unless otherwise waived by such noteholders); provided, further that the Redemption Price shall be paid immediately following the purchase of such tendered Notes (if any).</w:t>
      </w:r>
    </w:p>
    <w:p>
      <w:pPr>
        <w:spacing w:after="0" w:line="84" w:lineRule="exact"/>
        <w:rPr>
          <w:sz w:val="20"/>
          <w:szCs w:val="20"/>
          <w:color w:val="auto"/>
        </w:rPr>
      </w:pPr>
    </w:p>
    <w:p>
      <w:pPr>
        <w:ind w:left="20" w:right="219"/>
        <w:spacing w:after="0" w:line="323" w:lineRule="auto"/>
        <w:rPr>
          <w:sz w:val="20"/>
          <w:szCs w:val="20"/>
          <w:color w:val="auto"/>
        </w:rPr>
      </w:pPr>
      <w:r>
        <w:rPr>
          <w:rFonts w:ascii="Arial" w:cs="Arial" w:eastAsia="Arial" w:hAnsi="Arial"/>
          <w:sz w:val="11"/>
          <w:szCs w:val="11"/>
          <w:color w:val="auto"/>
        </w:rPr>
        <w:t>Ferrellgas identified the issuer redemption right, the investor redemption right, and the change in control option as embedded derivatives that require bifurcation as they are not clearly and closely related to the debt host contract and has concluded that the fair values at issuance and at April 30, 2021, are immaterial to the financial statements.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Distributions</w:t>
      </w:r>
    </w:p>
    <w:p>
      <w:pPr>
        <w:spacing w:after="0" w:line="132"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Pursuant to the OpCo LPA Amendment, the operating partnership will pay to the holders of each Preferred Unit a cumulative, quarterly distribution (the "Quarterly Distribution") at the Distribution Rate (as defined below) on the Purchase Price.</w:t>
      </w:r>
    </w:p>
    <w:p>
      <w:pPr>
        <w:spacing w:after="0" w:line="84" w:lineRule="exact"/>
        <w:rPr>
          <w:sz w:val="20"/>
          <w:szCs w:val="20"/>
          <w:color w:val="auto"/>
        </w:rPr>
      </w:pPr>
    </w:p>
    <w:p>
      <w:pPr>
        <w:ind w:left="20" w:right="439"/>
        <w:spacing w:after="0" w:line="292" w:lineRule="auto"/>
        <w:rPr>
          <w:sz w:val="20"/>
          <w:szCs w:val="20"/>
          <w:color w:val="auto"/>
        </w:rPr>
      </w:pPr>
      <w:r>
        <w:rPr>
          <w:rFonts w:ascii="Arial" w:cs="Arial" w:eastAsia="Arial" w:hAnsi="Arial"/>
          <w:sz w:val="12"/>
          <w:szCs w:val="12"/>
          <w:color w:val="auto"/>
        </w:rPr>
        <w:t>"Distribution Rate" means, for the first five years after March 30, 2021, a rate per annum equal to 8.956%, with certain increases in the Distribution Rate on each of the 5</w:t>
      </w:r>
      <w:r>
        <w:rPr>
          <w:rFonts w:ascii="Arial" w:cs="Arial" w:eastAsia="Arial" w:hAnsi="Arial"/>
          <w:sz w:val="13"/>
          <w:szCs w:val="13"/>
          <w:color w:val="auto"/>
          <w:vertAlign w:val="superscript"/>
        </w:rPr>
        <w:t>th</w:t>
      </w:r>
      <w:r>
        <w:rPr>
          <w:rFonts w:ascii="Arial" w:cs="Arial" w:eastAsia="Arial" w:hAnsi="Arial"/>
          <w:sz w:val="12"/>
          <w:szCs w:val="12"/>
          <w:color w:val="auto"/>
        </w:rPr>
        <w:t>, 6</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and 7</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anniversaries of March 30, 2021, subject to a maximum rate of 11.125% and certain other adjustments and exceptions.</w:t>
      </w:r>
    </w:p>
    <w:p>
      <w:pPr>
        <w:spacing w:after="0" w:line="58" w:lineRule="exact"/>
        <w:rPr>
          <w:sz w:val="20"/>
          <w:szCs w:val="20"/>
          <w:color w:val="auto"/>
        </w:rPr>
      </w:pPr>
    </w:p>
    <w:p>
      <w:pPr>
        <w:ind w:left="20" w:right="59"/>
        <w:spacing w:after="0" w:line="340" w:lineRule="auto"/>
        <w:rPr>
          <w:sz w:val="20"/>
          <w:szCs w:val="20"/>
          <w:color w:val="auto"/>
        </w:rPr>
      </w:pPr>
      <w:r>
        <w:rPr>
          <w:rFonts w:ascii="Arial" w:cs="Arial" w:eastAsia="Arial" w:hAnsi="Arial"/>
          <w:sz w:val="10"/>
          <w:szCs w:val="10"/>
          <w:color w:val="auto"/>
        </w:rPr>
        <w:t>The Quarterly Distribution will be paid in cash; provided, that the operating partnership may, at its option in its sole discretion, pay any Quarterly Distribution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spacing w:after="0" w:line="69"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The Distribution Rate on the Preferred Units will increase upon violation of certain protective provisions for the benefit of Preferred Unit holders notwithstanding the cap mentioned above.</w:t>
      </w:r>
    </w:p>
    <w:p>
      <w:pPr>
        <w:spacing w:after="0" w:line="88"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As of April 30, 2021, the Quarterly Distribution accrued was $8.0 million, reflecting a prorated distribution amount for the period from the Effective Date to April 30, and the Quarterly Distribution in that amount was paid in cash to holders of Preferred Units on May 17, 2021.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Tax Distributions</w:t>
      </w:r>
    </w:p>
    <w:p>
      <w:pPr>
        <w:spacing w:after="0" w:line="132" w:lineRule="exact"/>
        <w:rPr>
          <w:sz w:val="20"/>
          <w:szCs w:val="20"/>
          <w:color w:val="auto"/>
        </w:rPr>
      </w:pPr>
    </w:p>
    <w:p>
      <w:pPr>
        <w:ind w:left="20" w:right="139"/>
        <w:spacing w:after="0" w:line="309" w:lineRule="auto"/>
        <w:rPr>
          <w:sz w:val="20"/>
          <w:szCs w:val="20"/>
          <w:color w:val="auto"/>
        </w:rPr>
      </w:pPr>
      <w:r>
        <w:rPr>
          <w:rFonts w:ascii="Arial" w:cs="Arial" w:eastAsia="Arial" w:hAnsi="Arial"/>
          <w:sz w:val="10"/>
          <w:szCs w:val="10"/>
          <w:color w:val="auto"/>
        </w:rPr>
        <w:t>For any quarter in which the operating partnership makes a Quarterly Distribution in PIK Units in lieu of cash, it will be required to make a subsequent cash tax distribution for such quarter in an amount equal to the (i) the lesser of (x) 25% and (y) the highest combined federal, state and local tax rate applicable for corporations organized in New York, multiplied by</w:t>
      </w:r>
    </w:p>
    <w:p>
      <w:pPr>
        <w:spacing w:after="0" w:line="1" w:lineRule="exact"/>
        <w:rPr>
          <w:sz w:val="20"/>
          <w:szCs w:val="20"/>
          <w:color w:val="auto"/>
        </w:rPr>
      </w:pPr>
    </w:p>
    <w:p>
      <w:pPr>
        <w:ind w:left="20" w:right="119" w:firstLine="2"/>
        <w:spacing w:after="0" w:line="253" w:lineRule="auto"/>
        <w:tabs>
          <w:tab w:leader="none" w:pos="19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1" w:name="page22"/>
    <w:bookmarkEnd w:id="2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Additional Amounts for Certain Purchasers</w:t>
      </w:r>
    </w:p>
    <w:p>
      <w:pPr>
        <w:spacing w:after="0" w:line="132" w:lineRule="exact"/>
        <w:rPr>
          <w:sz w:val="20"/>
          <w:szCs w:val="20"/>
          <w:color w:val="auto"/>
        </w:rPr>
      </w:pPr>
    </w:p>
    <w:p>
      <w:pPr>
        <w:ind w:left="20" w:right="159"/>
        <w:spacing w:after="0" w:line="285" w:lineRule="auto"/>
        <w:rPr>
          <w:sz w:val="20"/>
          <w:szCs w:val="20"/>
          <w:color w:val="auto"/>
        </w:rPr>
      </w:pPr>
      <w:r>
        <w:rPr>
          <w:rFonts w:ascii="Arial" w:cs="Arial" w:eastAsia="Arial" w:hAnsi="Arial"/>
          <w:sz w:val="11"/>
          <w:szCs w:val="11"/>
          <w:color w:val="auto"/>
        </w:rPr>
        <w:t>The operating partnership is required to pay certain additional amounts of cash (the “Additional Amounts”) as necessary to certain holders of Preferred Units that hold their interests through a “blocker,” which is a U.S. entity that is owned and organized by certain original purchasers of Preferred Units who are non-U.S. persons or tax exempt for U.S. tax purposes and is treated as a corporation for U.S. tax purposes. Only certain original purchasers of Preferred Units who hold their Preferred Units through such blockers are, and none of their transferees is, entitled to Additional Amounts. Additional Amounts are capped at the lesser of: (a) the product of 20% multiplied by taxable income allocated to a “blocker” (as defined) divided by 0.8, and (b) the actual taxes payable by the “blocker” as a result of holding Senior Preferred Units.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Board Rights</w:t>
      </w:r>
    </w:p>
    <w:p>
      <w:pPr>
        <w:spacing w:after="0" w:line="123"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For so long as at least 140,000 Preferred Units remain outstanding, holders of the Preferred Units have the right to designate one director to the Board of the general partner, subject to approval by the general partner.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Protective Provisions</w:t>
      </w:r>
    </w:p>
    <w:p>
      <w:pPr>
        <w:spacing w:after="0" w:line="123"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The OpCo LPA Amendment and the Amended Ferrellgas Partners LPA include, among other things, certain covenants for the benefit of holders of Preferred Units applicable to the operating partnership and, in certain instances, Ferrellgas Partners, for so long as at least $35,000,000 of Preferred Units and PIK Units remain outstanding. These covenants include, among other things, limitations on (i) effecting a Change of Control, (ii) amending organizational documents, (iii) issuing certain equity securities, (iv) issuing Preferred Units, (v) filing for bankruptcy, (vi) non-ordinary course investments, and (vii) incurring certain levels of indebtedness.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Ranking and Liquidation Preference</w:t>
      </w:r>
    </w:p>
    <w:p>
      <w:pPr>
        <w:spacing w:after="0" w:line="132"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The Preferred Units rank senior to any other class or series of equity interests of the operating partnership (including the partnership interests held by Ferrellgas Partners and the general partner). Upon a liquidation, dissolution or winding up of the operating partnership, each holder of Preferred Units will be entitled to receive, prior and in preference to any distribution of any assets of the operating partnership to the holders of any other class or series of equity interests in the operating partnership (including Ferrellgas Partners and the general partner), an amount per Preferred Unit equal to the Redemption Price.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Restrictions on Cash Distributions to Ferrellgas Partners and the General Partner</w:t>
      </w:r>
    </w:p>
    <w:p>
      <w:pPr>
        <w:spacing w:after="0" w:line="123"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The operating partnership is permitted to make distributions of Available Cash (as defined in the Amended OpCo LPA) to Ferrellgas Partners and the general partner only if (i) the operating partnership has made all required Quarterly Distributions (in cash or PIK Units), Tax Distributions and payments of Additional Amounts, (ii) the operating partnership has redeemed all PIK Units issued, (iii) the operating partnership’s consolidated net leverage (defined generally to mean the ratio of the operating partnership’s consolidated total net debt (including the total redemption price of all outstanding Preferred Units and PIK Units but excluding certain letters of credit and capital lease obligations) as of each Quarterly Distribution Date to trailing four quarters consolidated EBITDA, both as adjusted for certain, specified items) is below 7.25x through May 15, 2022 and 7.00x thereafter, net of cash, immediately before and after giving effect to such distribution, (iv) the operating partnership has at least $100 million of liquidity, consisting of unrestricted cash on hand and available capacity under the Credit Agreement or any replacement thereof, and (v) the operating partnership is in compliance with the other protective provisions in the OpCo LPA Amendment.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2" w:name="page23"/>
    <w:bookmarkEnd w:id="2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Equity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Reverse Unit Split</w:t>
      </w:r>
    </w:p>
    <w:p>
      <w:pPr>
        <w:spacing w:after="0" w:line="150" w:lineRule="exact"/>
        <w:rPr>
          <w:sz w:val="20"/>
          <w:szCs w:val="20"/>
          <w:color w:val="auto"/>
        </w:rPr>
      </w:pPr>
    </w:p>
    <w:p>
      <w:pPr>
        <w:ind w:left="20" w:right="59"/>
        <w:spacing w:after="0" w:line="254" w:lineRule="auto"/>
        <w:rPr>
          <w:sz w:val="20"/>
          <w:szCs w:val="20"/>
          <w:color w:val="auto"/>
        </w:rPr>
      </w:pPr>
      <w:r>
        <w:rPr>
          <w:rFonts w:ascii="Arial" w:cs="Arial" w:eastAsia="Arial" w:hAnsi="Arial"/>
          <w:sz w:val="12"/>
          <w:szCs w:val="12"/>
          <w:color w:val="auto"/>
        </w:rPr>
        <w:t>As described in the Note A – Partnership organization and formation under “—Recent Developments—Transactions— Amended Partnership Agreements of Ferrellgas Partners and the Operating Partnership,” on the Effective Date, Ferrellgas Partners effected a 1-for-20 reverse unit split in which holders of its then-outstanding common units received one Class A Unit for every twenty common units held. No fractional Class A Units were issued in connection with the reverse unit split. If, as a result of the reverse unit split, a unitholder would otherwise have been entitled to a fractional Class A Unit, the number of Class A Units such unitholder received was rounded up or down to the nearest whole Class A Unit, with a fraction of one-half or less being rounded down. The reverse unit split resulted in a reduction of our previously outstanding common units from 97,152,665 common units to 4,857,605 Class A Units. All references to common units and per unit data for all periods presented in the accompanying consolidated financial statements and notes thereto have been adjusted to reflect the reverse unit split on a retroactive basis.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Class B Units</w:t>
      </w:r>
    </w:p>
    <w:p>
      <w:pPr>
        <w:spacing w:after="0" w:line="132" w:lineRule="exact"/>
        <w:rPr>
          <w:sz w:val="20"/>
          <w:szCs w:val="20"/>
          <w:color w:val="auto"/>
        </w:rPr>
      </w:pPr>
    </w:p>
    <w:p>
      <w:pPr>
        <w:ind w:left="20" w:right="159"/>
        <w:spacing w:after="0" w:line="289" w:lineRule="auto"/>
        <w:rPr>
          <w:sz w:val="20"/>
          <w:szCs w:val="20"/>
          <w:color w:val="auto"/>
        </w:rPr>
      </w:pPr>
      <w:r>
        <w:rPr>
          <w:rFonts w:ascii="Arial" w:cs="Arial" w:eastAsia="Arial" w:hAnsi="Arial"/>
          <w:sz w:val="11"/>
          <w:szCs w:val="11"/>
          <w:color w:val="auto"/>
        </w:rPr>
        <w:t>As discussed in the Note A – Partnership organization and formation under “—Recent Developments—Transactions— Satisfaction of Ferrellgas Partners Notes; Issuance of Class B Units to Holders of Ferrellgas Partners Notes”, on the Effective Date, Ferrellgas Partners issued 1.3 million Class B Units to the holders of the Ferrellgas Partners Notes in exchange for such holders’ contribution of the Ferrellgas Partners Notes to Ferrellgas Partners as a capital contribution and in satisfaction of such holders’ claims in respect of the Ferrellgas Partners Notes. The terms of the Class B Units are set forth in the Amended Ferrellgas Partners LPA entered into by the general partner on the Effective Date.</w:t>
      </w:r>
    </w:p>
    <w:p>
      <w:pPr>
        <w:spacing w:after="0" w:line="84"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Ferrellgas Partners may, subject to certain conditions, issue additional Class A Units to such parties as determined at the discretion of Ferrellgas Partners, upon consent by the holders of the requisite percentage of Class B Units as specified in the Amended Ferrellgas Partners LPA (the “Requisite Class B Units”), which refers to: (i) if the initial majority holder of Class B Units holds at least 50% of Class B Units, holders of at least 50% of the outstanding Class B Units, or (ii) if the initial majority holder of Class B Units holds less than 50% of Class B Units, holders of at least one-third of the outstanding Class B Units.</w:t>
      </w:r>
    </w:p>
    <w:p>
      <w:pPr>
        <w:spacing w:after="0" w:line="97" w:lineRule="exact"/>
        <w:rPr>
          <w:sz w:val="20"/>
          <w:szCs w:val="20"/>
          <w:color w:val="auto"/>
        </w:rPr>
      </w:pPr>
    </w:p>
    <w:p>
      <w:pPr>
        <w:ind w:left="20" w:right="259"/>
        <w:spacing w:after="0" w:line="256" w:lineRule="auto"/>
        <w:rPr>
          <w:sz w:val="20"/>
          <w:szCs w:val="20"/>
          <w:color w:val="auto"/>
        </w:rPr>
      </w:pPr>
      <w:r>
        <w:rPr>
          <w:rFonts w:ascii="Arial" w:cs="Arial" w:eastAsia="Arial" w:hAnsi="Arial"/>
          <w:sz w:val="12"/>
          <w:szCs w:val="12"/>
          <w:color w:val="auto"/>
        </w:rPr>
        <w:t>Distributions by Ferrellgas Partners to its partners are required to be made such that the ratio of (i) the amount of distributions made to holders of Class B Units to (ii) the amount of distributions made to holders of Class A Units and the general partner is not less than 6:1 until holders of Class B Units receive distributions in the aggregate amount equaling $357.0 million (which was the outstanding principal amount of the Ferrellgas Partners Notes), upon receipt of which the Class B Units will be converted to Class A Units at the applicable conversion rate, set forth in the table below, at the option of Ferrellgas Partners in the first five years after the Effective Date and, thereafter, automatically upon distribution of $357.0 million.</w:t>
      </w:r>
    </w:p>
    <w:p>
      <w:pPr>
        <w:spacing w:after="0" w:line="108" w:lineRule="exact"/>
        <w:rPr>
          <w:sz w:val="20"/>
          <w:szCs w:val="20"/>
          <w:color w:val="auto"/>
        </w:rPr>
      </w:pPr>
    </w:p>
    <w:tbl>
      <w:tblPr>
        <w:tblLayout w:type="fixed"/>
        <w:tblInd w:w="30" w:type="dxa"/>
        <w:tblCellMar>
          <w:top w:w="0" w:type="dxa"/>
          <w:left w:w="0" w:type="dxa"/>
          <w:bottom w:w="0" w:type="dxa"/>
          <w:right w:w="0" w:type="dxa"/>
        </w:tblCellMar>
      </w:tblPr>
      <w:tr>
        <w:trPr>
          <w:trHeight w:val="108"/>
        </w:trPr>
        <w:tc>
          <w:tcPr>
            <w:tcW w:w="6900" w:type="dxa"/>
            <w:vAlign w:val="bottom"/>
            <w:tcBorders>
              <w:top w:val="single" w:sz="8" w:color="auto"/>
              <w:left w:val="single" w:sz="8" w:color="auto"/>
              <w:bottom w:val="single" w:sz="8" w:color="auto"/>
              <w:right w:val="single" w:sz="8" w:color="auto"/>
            </w:tcBorders>
          </w:tcPr>
          <w:p>
            <w:pPr>
              <w:ind w:left="3020"/>
              <w:spacing w:after="0" w:line="108" w:lineRule="exact"/>
              <w:rPr>
                <w:sz w:val="20"/>
                <w:szCs w:val="20"/>
                <w:color w:val="auto"/>
              </w:rPr>
            </w:pPr>
            <w:r>
              <w:rPr>
                <w:rFonts w:ascii="Arial" w:cs="Arial" w:eastAsia="Arial" w:hAnsi="Arial"/>
                <w:sz w:val="10"/>
                <w:szCs w:val="10"/>
                <w:b w:val="1"/>
                <w:bCs w:val="1"/>
                <w:i w:val="1"/>
                <w:iCs w:val="1"/>
                <w:color w:val="auto"/>
              </w:rPr>
              <w:t>Year Post-Emergence</w:t>
            </w:r>
          </w:p>
        </w:tc>
        <w:tc>
          <w:tcPr>
            <w:tcW w:w="2080" w:type="dxa"/>
            <w:vAlign w:val="bottom"/>
            <w:tcBorders>
              <w:top w:val="single" w:sz="8" w:color="auto"/>
              <w:bottom w:val="single" w:sz="8" w:color="auto"/>
              <w:right w:val="single" w:sz="8" w:color="auto"/>
            </w:tcBorders>
          </w:tcPr>
          <w:p>
            <w:pPr>
              <w:spacing w:after="0" w:line="108" w:lineRule="exact"/>
              <w:rPr>
                <w:sz w:val="20"/>
                <w:szCs w:val="20"/>
                <w:color w:val="auto"/>
              </w:rPr>
            </w:pPr>
            <w:r>
              <w:rPr>
                <w:rFonts w:ascii="Arial" w:cs="Arial" w:eastAsia="Arial" w:hAnsi="Arial"/>
                <w:sz w:val="10"/>
                <w:szCs w:val="10"/>
                <w:b w:val="1"/>
                <w:bCs w:val="1"/>
                <w:i w:val="1"/>
                <w:iCs w:val="1"/>
                <w:color w:val="auto"/>
              </w:rPr>
              <w:t>Conversion Factor</w:t>
            </w:r>
          </w:p>
        </w:tc>
      </w:tr>
      <w:tr>
        <w:trPr>
          <w:trHeight w:val="133"/>
        </w:trPr>
        <w:tc>
          <w:tcPr>
            <w:tcW w:w="690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Y1</w:t>
            </w:r>
          </w:p>
        </w:tc>
        <w:tc>
          <w:tcPr>
            <w:tcW w:w="20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1.75x</w:t>
            </w:r>
          </w:p>
        </w:tc>
      </w:tr>
      <w:tr>
        <w:trPr>
          <w:trHeight w:val="133"/>
        </w:trPr>
        <w:tc>
          <w:tcPr>
            <w:tcW w:w="69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Y2</w:t>
            </w:r>
          </w:p>
        </w:tc>
        <w:tc>
          <w:tcPr>
            <w:tcW w:w="2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2.00x</w:t>
            </w:r>
          </w:p>
        </w:tc>
      </w:tr>
      <w:tr>
        <w:trPr>
          <w:trHeight w:val="133"/>
        </w:trPr>
        <w:tc>
          <w:tcPr>
            <w:tcW w:w="690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Y3</w:t>
            </w:r>
          </w:p>
        </w:tc>
        <w:tc>
          <w:tcPr>
            <w:tcW w:w="20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3.50x</w:t>
            </w:r>
          </w:p>
        </w:tc>
      </w:tr>
      <w:tr>
        <w:trPr>
          <w:trHeight w:val="133"/>
        </w:trPr>
        <w:tc>
          <w:tcPr>
            <w:tcW w:w="69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Y4</w:t>
            </w:r>
          </w:p>
        </w:tc>
        <w:tc>
          <w:tcPr>
            <w:tcW w:w="2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4.00x</w:t>
            </w:r>
          </w:p>
        </w:tc>
      </w:tr>
      <w:tr>
        <w:trPr>
          <w:trHeight w:val="133"/>
        </w:trPr>
        <w:tc>
          <w:tcPr>
            <w:tcW w:w="690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Y5</w:t>
            </w:r>
          </w:p>
        </w:tc>
        <w:tc>
          <w:tcPr>
            <w:tcW w:w="20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5.00x</w:t>
            </w:r>
          </w:p>
        </w:tc>
      </w:tr>
      <w:tr>
        <w:trPr>
          <w:trHeight w:val="133"/>
        </w:trPr>
        <w:tc>
          <w:tcPr>
            <w:tcW w:w="69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Y6</w:t>
            </w:r>
          </w:p>
        </w:tc>
        <w:tc>
          <w:tcPr>
            <w:tcW w:w="2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6.00x</w:t>
            </w:r>
          </w:p>
        </w:tc>
      </w:tr>
      <w:tr>
        <w:trPr>
          <w:trHeight w:val="133"/>
        </w:trPr>
        <w:tc>
          <w:tcPr>
            <w:tcW w:w="690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Y7</w:t>
            </w:r>
          </w:p>
        </w:tc>
        <w:tc>
          <w:tcPr>
            <w:tcW w:w="20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7.00x</w:t>
            </w:r>
          </w:p>
        </w:tc>
      </w:tr>
      <w:tr>
        <w:trPr>
          <w:trHeight w:val="133"/>
        </w:trPr>
        <w:tc>
          <w:tcPr>
            <w:tcW w:w="69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Y8</w:t>
            </w:r>
          </w:p>
        </w:tc>
        <w:tc>
          <w:tcPr>
            <w:tcW w:w="2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10.00x</w:t>
            </w:r>
          </w:p>
        </w:tc>
      </w:tr>
      <w:tr>
        <w:trPr>
          <w:trHeight w:val="133"/>
        </w:trPr>
        <w:tc>
          <w:tcPr>
            <w:tcW w:w="690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Y9</w:t>
            </w:r>
          </w:p>
        </w:tc>
        <w:tc>
          <w:tcPr>
            <w:tcW w:w="20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12.00x</w:t>
            </w:r>
          </w:p>
        </w:tc>
      </w:tr>
      <w:tr>
        <w:trPr>
          <w:trHeight w:val="133"/>
        </w:trPr>
        <w:tc>
          <w:tcPr>
            <w:tcW w:w="69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Y10</w:t>
            </w:r>
          </w:p>
        </w:tc>
        <w:tc>
          <w:tcPr>
            <w:tcW w:w="2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25.00x</w:t>
            </w:r>
          </w:p>
        </w:tc>
      </w:tr>
    </w:tbl>
    <w:p>
      <w:pPr>
        <w:spacing w:after="0" w:line="135" w:lineRule="exact"/>
        <w:rPr>
          <w:sz w:val="20"/>
          <w:szCs w:val="20"/>
          <w:color w:val="auto"/>
        </w:rPr>
      </w:pPr>
    </w:p>
    <w:p>
      <w:pPr>
        <w:ind w:left="20" w:right="79"/>
        <w:spacing w:after="0" w:line="298" w:lineRule="auto"/>
        <w:rPr>
          <w:sz w:val="20"/>
          <w:szCs w:val="20"/>
          <w:color w:val="auto"/>
        </w:rPr>
      </w:pPr>
      <w:r>
        <w:rPr>
          <w:rFonts w:ascii="Arial" w:cs="Arial" w:eastAsia="Arial" w:hAnsi="Arial"/>
          <w:sz w:val="11"/>
          <w:szCs w:val="11"/>
          <w:color w:val="auto"/>
        </w:rPr>
        <w:t>In the first five years after the Effective Date, Ferrellgas Partners may redeem the Class B Units, in full, at a price equal to an amount that will result in an internal rate of return with respect to the Class B Units equal to the sum of (i) 300 basis points and (ii) the internal rate of return for the Preferred Units as specified in the Amended Ferrellgas Partners LPA, subject to the minimum redemption price of $302.08 per unit, less any cash distributed prior to the redemption, if called in the first year after issuance.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3" w:name="page24"/>
    <w:bookmarkEnd w:id="2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During the first five years following the Effective Date, after Ferrellgas Partners has distributed $356 million in distributions to holders of the Class B Units, Ferrellgas Partners will have the option to hold cash for six months at either Ferrellgas Partners or Ferrellgas Partners Finance Corp. for the sole purpose of redeeming the Class B Units; provided, however, if the funds held are not used to redeem the Class B Units, such funds will either be distributed to holders of the Class B Units, holders of the Class A Units and the general partner or returned to the operating partnership.</w:t>
      </w:r>
    </w:p>
    <w:p>
      <w:pPr>
        <w:spacing w:after="0" w:line="106" w:lineRule="exact"/>
        <w:rPr>
          <w:sz w:val="20"/>
          <w:szCs w:val="20"/>
          <w:color w:val="auto"/>
        </w:rPr>
      </w:pPr>
    </w:p>
    <w:p>
      <w:pPr>
        <w:ind w:left="20" w:right="119"/>
        <w:spacing w:after="0" w:line="323" w:lineRule="auto"/>
        <w:rPr>
          <w:sz w:val="20"/>
          <w:szCs w:val="20"/>
          <w:color w:val="auto"/>
        </w:rPr>
      </w:pPr>
      <w:r>
        <w:rPr>
          <w:rFonts w:ascii="Arial" w:cs="Arial" w:eastAsia="Arial" w:hAnsi="Arial"/>
          <w:sz w:val="11"/>
          <w:szCs w:val="11"/>
          <w:color w:val="auto"/>
        </w:rPr>
        <w:t>Ferrellgas Partners will only be able to call the Class B Units to the extent it receives sufficient distributions from the operating partnership, and the operating partnership is limited in its ability to make distributions by the indentures that govern the 2026 Notes and the 2029 Notes, the Credit Agreement and the OpCo LPA Amendment governing the Preferred Units.</w:t>
      </w:r>
    </w:p>
    <w:p>
      <w:pPr>
        <w:spacing w:after="0" w:line="65" w:lineRule="exact"/>
        <w:rPr>
          <w:sz w:val="20"/>
          <w:szCs w:val="20"/>
          <w:color w:val="auto"/>
        </w:rPr>
      </w:pPr>
    </w:p>
    <w:p>
      <w:pPr>
        <w:ind w:left="20" w:right="159"/>
        <w:spacing w:after="0" w:line="309" w:lineRule="auto"/>
        <w:rPr>
          <w:sz w:val="20"/>
          <w:szCs w:val="20"/>
          <w:color w:val="auto"/>
        </w:rPr>
      </w:pPr>
      <w:r>
        <w:rPr>
          <w:rFonts w:ascii="Arial" w:cs="Arial" w:eastAsia="Arial" w:hAnsi="Arial"/>
          <w:sz w:val="10"/>
          <w:szCs w:val="10"/>
          <w:color w:val="auto"/>
        </w:rPr>
        <w:t>The holders of Class B Units will have the right to acquire the general partner interests in Ferrellgas Partners and the operating partnership, without the approval of the general partner, Ferrellgas Partners, the holders of the Class A Units or the operating partnership, if the Class B Units are still outstanding and have not been converted to Class A Units by the earlier of</w:t>
      </w:r>
    </w:p>
    <w:p>
      <w:pPr>
        <w:spacing w:after="0" w:line="1" w:lineRule="exact"/>
        <w:rPr>
          <w:sz w:val="20"/>
          <w:szCs w:val="20"/>
          <w:color w:val="auto"/>
        </w:rPr>
      </w:pPr>
    </w:p>
    <w:p>
      <w:pPr>
        <w:ind w:left="20" w:right="399" w:firstLine="2"/>
        <w:spacing w:after="0" w:line="260" w:lineRule="auto"/>
        <w:tabs>
          <w:tab w:leader="none" w:pos="163"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material breach of the covenants in favor of the Class B Units under the Amended Ferrellgas Partners LPA or the Amended OpCo LPA that is not cured within the time period specified therein and (ii) the 10th anniversary of the Effective Date.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Board Rights</w:t>
      </w:r>
    </w:p>
    <w:p>
      <w:pPr>
        <w:spacing w:after="0" w:line="132"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The holders of Class B units will be permitted to designate one independent director to the Board of the general partner in accordance with a voting agreement among the general partner, Ferrell Companies, Inc. ("FCI"), the sole stockholder of the general partner, and the holders of the Class B units and the general partner's bylaws.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Fair Value</w:t>
      </w:r>
    </w:p>
    <w:p>
      <w:pPr>
        <w:spacing w:after="0" w:line="123"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The fair value of Class B Units approximates the carrying value of the principal and interest of the Ferrellgas Partners Notes of $390.1 million and thus no gain (loss) on extinguishment was recognized.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Class A Units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of April 30, 2021 and July 31, 2020, limited partner Class A Units were beneficially owned by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40" w:type="dxa"/>
            <w:vAlign w:val="bottom"/>
            <w:gridSpan w:val="2"/>
          </w:tcPr>
          <w:p>
            <w:pPr>
              <w:ind w:left="340"/>
              <w:spacing w:after="0"/>
              <w:rPr>
                <w:sz w:val="20"/>
                <w:szCs w:val="20"/>
                <w:color w:val="auto"/>
              </w:rPr>
            </w:pPr>
            <w:r>
              <w:rPr>
                <w:rFonts w:ascii="Arial" w:cs="Arial" w:eastAsia="Arial" w:hAnsi="Arial"/>
                <w:sz w:val="10"/>
                <w:szCs w:val="10"/>
                <w:b w:val="1"/>
                <w:bCs w:val="1"/>
                <w:color w:val="auto"/>
              </w:rPr>
              <w:t>April 30, 2021</w:t>
            </w:r>
          </w:p>
        </w:tc>
        <w:tc>
          <w:tcPr>
            <w:tcW w:w="980" w:type="dxa"/>
            <w:vAlign w:val="bottom"/>
          </w:tcPr>
          <w:p>
            <w:pPr>
              <w:jc w:val="right"/>
              <w:ind w:right="162"/>
              <w:spacing w:after="0"/>
              <w:rPr>
                <w:sz w:val="20"/>
                <w:szCs w:val="20"/>
                <w:color w:val="auto"/>
              </w:rPr>
            </w:pPr>
            <w:r>
              <w:rPr>
                <w:rFonts w:ascii="Arial" w:cs="Arial" w:eastAsia="Arial" w:hAnsi="Arial"/>
                <w:sz w:val="10"/>
                <w:szCs w:val="10"/>
                <w:b w:val="1"/>
                <w:bCs w:val="1"/>
                <w:color w:val="auto"/>
              </w:rPr>
              <w:t>July 31, 2020</w:t>
            </w:r>
          </w:p>
        </w:tc>
      </w:tr>
      <w:tr>
        <w:trPr>
          <w:trHeight w:val="133"/>
        </w:trPr>
        <w:tc>
          <w:tcPr>
            <w:tcW w:w="65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Public Class A unitholders (1)</w:t>
            </w: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3,480,621</w:t>
            </w:r>
          </w:p>
        </w:tc>
        <w:tc>
          <w:tcPr>
            <w:tcW w:w="2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3,480,621</w:t>
            </w:r>
          </w:p>
        </w:tc>
      </w:tr>
      <w:tr>
        <w:trPr>
          <w:trHeight w:val="144"/>
        </w:trPr>
        <w:tc>
          <w:tcPr>
            <w:tcW w:w="6540" w:type="dxa"/>
            <w:vAlign w:val="bottom"/>
            <w:gridSpan w:val="2"/>
          </w:tcPr>
          <w:p>
            <w:pPr>
              <w:spacing w:after="0"/>
              <w:rPr>
                <w:sz w:val="20"/>
                <w:szCs w:val="20"/>
                <w:color w:val="auto"/>
              </w:rPr>
            </w:pPr>
            <w:r>
              <w:rPr>
                <w:rFonts w:ascii="Arial" w:cs="Arial" w:eastAsia="Arial" w:hAnsi="Arial"/>
                <w:sz w:val="12"/>
                <w:szCs w:val="12"/>
                <w:color w:val="auto"/>
              </w:rPr>
              <w:t>Ferrell Companies (2)</w:t>
            </w:r>
          </w:p>
        </w:tc>
        <w:tc>
          <w:tcPr>
            <w:tcW w:w="1240" w:type="dxa"/>
            <w:vAlign w:val="bottom"/>
          </w:tcPr>
          <w:p>
            <w:pPr>
              <w:jc w:val="right"/>
              <w:spacing w:after="0"/>
              <w:rPr>
                <w:sz w:val="20"/>
                <w:szCs w:val="20"/>
                <w:color w:val="auto"/>
              </w:rPr>
            </w:pPr>
            <w:r>
              <w:rPr>
                <w:rFonts w:ascii="Arial" w:cs="Arial" w:eastAsia="Arial" w:hAnsi="Arial"/>
                <w:sz w:val="12"/>
                <w:szCs w:val="12"/>
                <w:color w:val="auto"/>
              </w:rPr>
              <w:t>1,126,468</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1,126,468</w:t>
            </w:r>
          </w:p>
        </w:tc>
      </w:tr>
      <w:tr>
        <w:trPr>
          <w:trHeight w:val="144"/>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FCI Trading Corp. (3)</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9,784</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9,784</w:t>
            </w:r>
          </w:p>
        </w:tc>
      </w:tr>
      <w:tr>
        <w:trPr>
          <w:trHeight w:val="144"/>
        </w:trPr>
        <w:tc>
          <w:tcPr>
            <w:tcW w:w="6540" w:type="dxa"/>
            <w:vAlign w:val="bottom"/>
            <w:gridSpan w:val="2"/>
          </w:tcPr>
          <w:p>
            <w:pPr>
              <w:spacing w:after="0"/>
              <w:rPr>
                <w:sz w:val="20"/>
                <w:szCs w:val="20"/>
                <w:color w:val="auto"/>
              </w:rPr>
            </w:pPr>
            <w:r>
              <w:rPr>
                <w:rFonts w:ascii="Arial" w:cs="Arial" w:eastAsia="Arial" w:hAnsi="Arial"/>
                <w:sz w:val="12"/>
                <w:szCs w:val="12"/>
                <w:color w:val="auto"/>
              </w:rPr>
              <w:t>Ferrell Propane, Inc. (4)</w:t>
            </w:r>
          </w:p>
        </w:tc>
        <w:tc>
          <w:tcPr>
            <w:tcW w:w="1240" w:type="dxa"/>
            <w:vAlign w:val="bottom"/>
          </w:tcPr>
          <w:p>
            <w:pPr>
              <w:jc w:val="right"/>
              <w:spacing w:after="0"/>
              <w:rPr>
                <w:sz w:val="20"/>
                <w:szCs w:val="20"/>
                <w:color w:val="auto"/>
              </w:rPr>
            </w:pPr>
            <w:r>
              <w:rPr>
                <w:rFonts w:ascii="Arial" w:cs="Arial" w:eastAsia="Arial" w:hAnsi="Arial"/>
                <w:sz w:val="12"/>
                <w:szCs w:val="12"/>
                <w:color w:val="auto"/>
              </w:rPr>
              <w:t>2,560</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2,560</w:t>
            </w:r>
          </w:p>
        </w:tc>
      </w:tr>
      <w:tr>
        <w:trPr>
          <w:trHeight w:val="144"/>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James E. Ferrell (5)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238,172</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238,172</w:t>
            </w:r>
          </w:p>
        </w:tc>
      </w:tr>
      <w:tr>
        <w:trPr>
          <w:trHeight w:val="72"/>
        </w:trPr>
        <w:tc>
          <w:tcPr>
            <w:tcW w:w="2240" w:type="dxa"/>
            <w:vAlign w:val="bottom"/>
            <w:tcBorders>
              <w:bottom w:val="single" w:sz="8" w:color="auto"/>
            </w:tcBorders>
          </w:tcPr>
          <w:p>
            <w:pPr>
              <w:spacing w:after="0"/>
              <w:rPr>
                <w:sz w:val="6"/>
                <w:szCs w:val="6"/>
                <w:color w:val="auto"/>
              </w:rPr>
            </w:pPr>
          </w:p>
        </w:tc>
        <w:tc>
          <w:tcPr>
            <w:tcW w:w="4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r>
    </w:tbl>
    <w:p>
      <w:pPr>
        <w:spacing w:after="0" w:line="54" w:lineRule="exact"/>
        <w:rPr>
          <w:sz w:val="20"/>
          <w:szCs w:val="20"/>
          <w:color w:val="auto"/>
        </w:rPr>
      </w:pPr>
    </w:p>
    <w:p>
      <w:pPr>
        <w:ind w:left="240" w:hanging="218"/>
        <w:spacing w:after="0"/>
        <w:tabs>
          <w:tab w:leader="none" w:pos="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These Class A Units are traded on the OTC Pink Market under the symbol “FGPR”.</w:t>
      </w:r>
    </w:p>
    <w:p>
      <w:pPr>
        <w:spacing w:after="0" w:line="14" w:lineRule="exact"/>
        <w:rPr>
          <w:rFonts w:ascii="Arial" w:cs="Arial" w:eastAsia="Arial" w:hAnsi="Arial"/>
          <w:sz w:val="12"/>
          <w:szCs w:val="12"/>
          <w:color w:val="auto"/>
        </w:rPr>
      </w:pPr>
    </w:p>
    <w:p>
      <w:pPr>
        <w:ind w:left="240" w:right="239" w:hanging="218"/>
        <w:spacing w:after="0" w:line="250" w:lineRule="auto"/>
        <w:tabs>
          <w:tab w:leader="none" w:pos="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Ferrell Companies is the owner of the general partner and an approximate 23% direct owner of Ferrellgas Partners’ Class A Units and thus a related party. Ferrell Companies also beneficially owns 9,784 and 2,560 Class A Units of Ferrellgas Partners held by FCI Trading Corp. ("FCI Trading") and Ferrell Propane, Inc. ("Ferrell Propane"), respectively, bringing Ferrell Companies’ total beneficial ownership to 23.4%.</w:t>
      </w:r>
    </w:p>
    <w:p>
      <w:pPr>
        <w:ind w:left="240" w:hanging="218"/>
        <w:spacing w:after="0"/>
        <w:tabs>
          <w:tab w:leader="none" w:pos="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FCI Trading is an affiliate of the general partner and thus a related party.</w:t>
      </w:r>
    </w:p>
    <w:p>
      <w:pPr>
        <w:spacing w:after="0" w:line="6" w:lineRule="exact"/>
        <w:rPr>
          <w:rFonts w:ascii="Arial" w:cs="Arial" w:eastAsia="Arial" w:hAnsi="Arial"/>
          <w:sz w:val="12"/>
          <w:szCs w:val="12"/>
          <w:color w:val="auto"/>
        </w:rPr>
      </w:pPr>
    </w:p>
    <w:p>
      <w:pPr>
        <w:ind w:left="240" w:hanging="218"/>
        <w:spacing w:after="0"/>
        <w:tabs>
          <w:tab w:leader="none" w:pos="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Ferrell Propane is controlled by the general partner and thus a related party.</w:t>
      </w:r>
    </w:p>
    <w:p>
      <w:pPr>
        <w:spacing w:after="0" w:line="6" w:lineRule="exact"/>
        <w:rPr>
          <w:rFonts w:ascii="Arial" w:cs="Arial" w:eastAsia="Arial" w:hAnsi="Arial"/>
          <w:sz w:val="12"/>
          <w:szCs w:val="12"/>
          <w:color w:val="auto"/>
        </w:rPr>
      </w:pPr>
    </w:p>
    <w:p>
      <w:pPr>
        <w:ind w:left="240" w:right="59" w:hanging="218"/>
        <w:spacing w:after="0" w:line="284" w:lineRule="auto"/>
        <w:tabs>
          <w:tab w:leader="none" w:pos="2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James E. Ferrell is the Chief Executive Officer and President of our general partner; and is the Chairman of the Board of Directors of our general partner and a related party. JEF Capital Management owns 237,942 of these Class A Units and is owned by the James E. Ferrell Revocable Trust Two and other family trusts, all of which James E. Ferrell and/or his family members are the trustees and beneficiaries. James E. Ferrell holds all voting common stock of JEF Capital Management. The remaining 230 Class A Units are held by Ferrell Resources Holdings, Inc., which is wholly-owned by the James E. Ferrell Revocable Trust One, for which James E. Ferrell is the trustee and sole beneficiary.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4" w:name="page25"/>
    <w:bookmarkEnd w:id="2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Partnership distributions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Ferrellgas Partners did not pay any distributions to Class B Unitholders, Class A Unitholders or the general partner for the three months ended April 30, 2021.</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Accumulated other comprehensive income (loss) (“AOCI”)</w:t>
      </w:r>
    </w:p>
    <w:p>
      <w:pPr>
        <w:spacing w:after="0" w:line="150"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See Note J – Derivative instruments and hedging activities for details regarding changes in the fair value of risk management financial derivatives recorded within AOCI for the three and nine months ended April 30, 2021 and 2020.</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General partner’s commitment to maintain its capital account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0"/>
          <w:szCs w:val="10"/>
          <w:color w:val="auto"/>
        </w:rPr>
        <w:t>Ferrellgas’ partnership agreements allow the general partner to have an option to maintain its effective 2% general partner interest concurrent with the issuance of other additional equity.</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the nine months ended April 30, 2021, the general partner made non-cash contributions of $46.0 thousand to Ferrellgas to maintain its effective 2% general partner interest.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the nine months ended April 30, 2020, the general partner made non-cash contributions of $44.0 thousand to Ferrellgas to maintain its effective 2% general partner interest.</w:t>
      </w:r>
    </w:p>
    <w:p>
      <w:pPr>
        <w:spacing w:after="0" w:line="158" w:lineRule="exact"/>
        <w:rPr>
          <w:sz w:val="20"/>
          <w:szCs w:val="20"/>
          <w:color w:val="auto"/>
        </w:rPr>
      </w:pPr>
    </w:p>
    <w:p>
      <w:pPr>
        <w:ind w:left="220" w:hanging="198"/>
        <w:spacing w:after="0"/>
        <w:tabs>
          <w:tab w:leader="none" w:pos="220"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Revenue from contracts with customers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Disaggregation of revenue</w:t>
      </w:r>
    </w:p>
    <w:p>
      <w:pPr>
        <w:spacing w:after="0" w:line="150"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Ferrellgas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ind w:left="20"/>
              <w:spacing w:after="0"/>
              <w:rPr>
                <w:sz w:val="20"/>
                <w:szCs w:val="20"/>
                <w:color w:val="auto"/>
              </w:rPr>
            </w:pPr>
            <w:r>
              <w:rPr>
                <w:rFonts w:ascii="Arial" w:cs="Arial" w:eastAsia="Arial" w:hAnsi="Arial"/>
                <w:sz w:val="10"/>
                <w:szCs w:val="10"/>
                <w:b w:val="1"/>
                <w:bCs w:val="1"/>
                <w:color w:val="auto"/>
              </w:rPr>
              <w:t>For the three months ended April 30,</w:t>
            </w:r>
          </w:p>
        </w:tc>
        <w:tc>
          <w:tcPr>
            <w:tcW w:w="160" w:type="dxa"/>
            <w:vAlign w:val="bottom"/>
          </w:tcPr>
          <w:p>
            <w:pPr>
              <w:spacing w:after="0"/>
              <w:rPr>
                <w:sz w:val="10"/>
                <w:szCs w:val="10"/>
                <w:color w:val="auto"/>
              </w:rPr>
            </w:pPr>
          </w:p>
        </w:tc>
        <w:tc>
          <w:tcPr>
            <w:tcW w:w="1920" w:type="dxa"/>
            <w:vAlign w:val="bottom"/>
            <w:gridSpan w:val="5"/>
          </w:tcPr>
          <w:p>
            <w:pPr>
              <w:ind w:left="12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50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4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2"/>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2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5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Retail - Sales to End Users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392,838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286,163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945,833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840,649</w:t>
            </w:r>
          </w:p>
        </w:tc>
        <w:tc>
          <w:tcPr>
            <w:tcW w:w="40" w:type="dxa"/>
            <w:vAlign w:val="bottom"/>
            <w:shd w:val="clear" w:color="auto" w:fill="CCEEFF"/>
          </w:tcPr>
          <w:p>
            <w:pPr>
              <w:spacing w:after="0"/>
              <w:rPr>
                <w:sz w:val="11"/>
                <w:szCs w:val="11"/>
                <w:color w:val="auto"/>
              </w:rPr>
            </w:pP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Wholesale - Sales to Resellers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140,015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103,686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381,357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291,445</w:t>
            </w:r>
          </w:p>
        </w:tc>
        <w:tc>
          <w:tcPr>
            <w:tcW w:w="40" w:type="dxa"/>
            <w:vAlign w:val="bottom"/>
          </w:tcPr>
          <w:p>
            <w:pPr>
              <w:spacing w:after="0"/>
              <w:rPr>
                <w:sz w:val="12"/>
                <w:szCs w:val="12"/>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Other Gas Sales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18,283</w:t>
            </w:r>
          </w:p>
        </w:tc>
        <w:tc>
          <w:tcPr>
            <w:tcW w:w="40" w:type="dxa"/>
            <w:vAlign w:val="bottom"/>
            <w:shd w:val="clear" w:color="auto" w:fill="CCEEFF"/>
          </w:tcPr>
          <w:p>
            <w:pPr>
              <w:spacing w:after="0"/>
              <w:rPr>
                <w:sz w:val="12"/>
                <w:szCs w:val="12"/>
                <w:color w:val="auto"/>
              </w:rPr>
            </w:pPr>
          </w:p>
        </w:tc>
      </w:tr>
      <w:tr>
        <w:trPr>
          <w:trHeight w:val="144"/>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22,694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20,385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67,665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65,800</w:t>
            </w:r>
          </w:p>
        </w:tc>
        <w:tc>
          <w:tcPr>
            <w:tcW w:w="40" w:type="dxa"/>
            <w:vAlign w:val="bottom"/>
            <w:tcBorders>
              <w:bottom w:val="single" w:sz="8" w:color="CCEEFF"/>
            </w:tcBorders>
          </w:tcPr>
          <w:p>
            <w:pPr>
              <w:spacing w:after="0"/>
              <w:rPr>
                <w:sz w:val="12"/>
                <w:szCs w:val="12"/>
                <w:color w:val="auto"/>
              </w:rPr>
            </w:pPr>
          </w:p>
        </w:tc>
      </w:tr>
      <w:tr>
        <w:trPr>
          <w:trHeight w:val="140"/>
        </w:trPr>
        <w:tc>
          <w:tcPr>
            <w:tcW w:w="5000" w:type="dxa"/>
            <w:vAlign w:val="bottom"/>
            <w:tcBorders>
              <w:bottom w:val="single" w:sz="8" w:color="CCEEFF"/>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Propane and related equipment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564,730</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412,130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1,419,184</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1,216,177</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assets and liabilities</w:t>
      </w:r>
    </w:p>
    <w:p>
      <w:pPr>
        <w:spacing w:after="0" w:line="150" w:lineRule="exact"/>
        <w:rPr>
          <w:sz w:val="20"/>
          <w:szCs w:val="20"/>
          <w:color w:val="auto"/>
        </w:rPr>
      </w:pPr>
    </w:p>
    <w:p>
      <w:pPr>
        <w:ind w:left="20" w:right="79"/>
        <w:spacing w:after="0" w:line="316" w:lineRule="auto"/>
        <w:rPr>
          <w:sz w:val="20"/>
          <w:szCs w:val="20"/>
          <w:color w:val="auto"/>
        </w:rPr>
      </w:pPr>
      <w:r>
        <w:rPr>
          <w:rFonts w:ascii="Arial" w:cs="Arial" w:eastAsia="Arial" w:hAnsi="Arial"/>
          <w:sz w:val="10"/>
          <w:szCs w:val="10"/>
          <w:color w:val="auto"/>
        </w:rPr>
        <w:t>Ferrellgas’ performance obligations are generally limited to the delivery of propane for our retail and wholesale contracts. Ferrellgas’ performance obligations with respect to sales of appliances and other materials and other revenues are limited to the delivery of the agreed upon good or service. Ferrellgas does not have material performance obligations that are delivered over time, thus all of our revenue is recognized at the time the goods, including propane, are delivered or installed. Ferrellgas offers “even pay” billing programs that can create customer deposits or advances, depending on whether Ferrellgas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0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Ferrellgas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does not capitalize these costs.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5" w:name="page26"/>
    <w:bookmarkEnd w:id="2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the opening and closing balances of Ferrellgas’ receivables, contract assets, and contract liabilities: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April 30, 2021</w:t>
            </w:r>
          </w:p>
        </w:tc>
        <w:tc>
          <w:tcPr>
            <w:tcW w:w="140" w:type="dxa"/>
            <w:vAlign w:val="bottom"/>
          </w:tcPr>
          <w:p>
            <w:pPr>
              <w:spacing w:after="0"/>
              <w:rPr>
                <w:sz w:val="10"/>
                <w:szCs w:val="10"/>
                <w:color w:val="auto"/>
              </w:rPr>
            </w:pPr>
          </w:p>
        </w:tc>
        <w:tc>
          <w:tcPr>
            <w:tcW w:w="800" w:type="dxa"/>
            <w:vAlign w:val="bottom"/>
          </w:tcPr>
          <w:p>
            <w:pPr>
              <w:jc w:val="right"/>
              <w:ind w:right="143"/>
              <w:spacing w:after="0"/>
              <w:rPr>
                <w:sz w:val="20"/>
                <w:szCs w:val="20"/>
                <w:color w:val="auto"/>
              </w:rPr>
            </w:pPr>
            <w:r>
              <w:rPr>
                <w:rFonts w:ascii="Arial" w:cs="Arial" w:eastAsia="Arial" w:hAnsi="Arial"/>
                <w:sz w:val="10"/>
                <w:szCs w:val="10"/>
                <w:b w:val="1"/>
                <w:bCs w:val="1"/>
                <w:color w:val="auto"/>
                <w:w w:val="93"/>
              </w:rPr>
              <w:t>July 31, 2020</w:t>
            </w:r>
          </w:p>
        </w:tc>
      </w:tr>
      <w:tr>
        <w:trPr>
          <w:trHeight w:val="133"/>
        </w:trPr>
        <w:tc>
          <w:tcPr>
            <w:tcW w:w="6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Accounts receivable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172,660</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108,483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Contract assets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16,498</w:t>
            </w:r>
          </w:p>
        </w:tc>
        <w:tc>
          <w:tcPr>
            <w:tcW w:w="2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7,079</w:t>
            </w: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3"/>
        </w:trPr>
        <w:tc>
          <w:tcPr>
            <w:tcW w:w="6680" w:type="dxa"/>
            <w:vAlign w:val="bottom"/>
          </w:tcPr>
          <w:p>
            <w:pPr>
              <w:ind w:left="100"/>
              <w:spacing w:after="0"/>
              <w:rPr>
                <w:sz w:val="20"/>
                <w:szCs w:val="20"/>
                <w:color w:val="auto"/>
              </w:rPr>
            </w:pPr>
            <w:r>
              <w:rPr>
                <w:rFonts w:ascii="Arial" w:cs="Arial" w:eastAsia="Arial" w:hAnsi="Arial"/>
                <w:sz w:val="12"/>
                <w:szCs w:val="12"/>
                <w:color w:val="auto"/>
              </w:rPr>
              <w:t>Deferred revenue (1)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39,378</w:t>
            </w:r>
          </w:p>
        </w:tc>
        <w:tc>
          <w:tcPr>
            <w:tcW w:w="2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42,911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142303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Of the beginning balance of deferred revenue, $34.3 million was recognized as revenue during the nine months ended April 30, 2021.</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Remaining performance obligations</w:t>
      </w:r>
    </w:p>
    <w:p>
      <w:pPr>
        <w:spacing w:after="0" w:line="154" w:lineRule="exact"/>
        <w:rPr>
          <w:sz w:val="20"/>
          <w:szCs w:val="20"/>
          <w:color w:val="auto"/>
        </w:rPr>
      </w:pPr>
    </w:p>
    <w:p>
      <w:pPr>
        <w:jc w:val="both"/>
        <w:ind w:left="20" w:right="179"/>
        <w:spacing w:after="0" w:line="379" w:lineRule="auto"/>
        <w:rPr>
          <w:sz w:val="20"/>
          <w:szCs w:val="20"/>
          <w:color w:val="auto"/>
        </w:rPr>
      </w:pPr>
      <w:r>
        <w:rPr>
          <w:rFonts w:ascii="Arial" w:cs="Arial" w:eastAsia="Arial" w:hAnsi="Arial"/>
          <w:sz w:val="10"/>
          <w:szCs w:val="10"/>
          <w:color w:val="auto"/>
        </w:rPr>
        <w:t>Ferrellgas’ remaining performance obligations are generally limited to situations where its customers have remitted payment but have not yet received deliveries of propane. This most commonly occurs in Ferrellgas’ even pay billing programs and Ferrellgas expects that these balances will be recognized within a year or less as the customer takes delivery of propane.</w:t>
      </w:r>
    </w:p>
    <w:p>
      <w:pPr>
        <w:spacing w:after="0" w:line="65" w:lineRule="exact"/>
        <w:rPr>
          <w:sz w:val="20"/>
          <w:szCs w:val="20"/>
          <w:color w:val="auto"/>
        </w:rPr>
      </w:pPr>
    </w:p>
    <w:p>
      <w:pPr>
        <w:ind w:left="240" w:hanging="218"/>
        <w:spacing w:after="0"/>
        <w:tabs>
          <w:tab w:leader="none" w:pos="240"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Fair value measurements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financial instruments</w:t>
      </w:r>
    </w:p>
    <w:p>
      <w:pPr>
        <w:spacing w:after="0" w:line="150"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The following table presents Ferrellgas’ financial assets and financial liabilities that are measured at fair value on a recurring basis for each of the fair value hierarchy levels, including both current and noncurrent portions, as of April 30, 2021 and July 31, 2020: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480"/>
              <w:spacing w:after="0"/>
              <w:rPr>
                <w:sz w:val="20"/>
                <w:szCs w:val="20"/>
                <w:color w:val="auto"/>
              </w:rPr>
            </w:pPr>
            <w:r>
              <w:rPr>
                <w:rFonts w:ascii="Arial" w:cs="Arial" w:eastAsia="Arial" w:hAnsi="Arial"/>
                <w:sz w:val="10"/>
                <w:szCs w:val="10"/>
                <w:b w:val="1"/>
                <w:bCs w:val="1"/>
                <w:color w:val="auto"/>
                <w:w w:val="91"/>
              </w:rPr>
              <w:t>Asset (Liability)</w:t>
            </w: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r>
        <w:trPr>
          <w:trHeight w:val="74"/>
        </w:trPr>
        <w:tc>
          <w:tcPr>
            <w:tcW w:w="3840" w:type="dxa"/>
            <w:vAlign w:val="bottom"/>
          </w:tcPr>
          <w:p>
            <w:pPr>
              <w:spacing w:after="0"/>
              <w:rPr>
                <w:sz w:val="6"/>
                <w:szCs w:val="6"/>
                <w:color w:val="auto"/>
              </w:rPr>
            </w:pPr>
          </w:p>
        </w:tc>
        <w:tc>
          <w:tcPr>
            <w:tcW w:w="1280" w:type="dxa"/>
            <w:vAlign w:val="bottom"/>
          </w:tcPr>
          <w:p>
            <w:pPr>
              <w:jc w:val="center"/>
              <w:ind w:left="153"/>
              <w:spacing w:after="0" w:line="74" w:lineRule="exact"/>
              <w:rPr>
                <w:sz w:val="20"/>
                <w:szCs w:val="20"/>
                <w:color w:val="auto"/>
              </w:rPr>
            </w:pPr>
            <w:r>
              <w:rPr>
                <w:rFonts w:ascii="Arial" w:cs="Arial" w:eastAsia="Arial" w:hAnsi="Arial"/>
                <w:sz w:val="8"/>
                <w:szCs w:val="8"/>
                <w:b w:val="1"/>
                <w:bCs w:val="1"/>
                <w:color w:val="auto"/>
              </w:rPr>
              <w:t>Quoted Prices in Active</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99"/>
        </w:trPr>
        <w:tc>
          <w:tcPr>
            <w:tcW w:w="3840" w:type="dxa"/>
            <w:vAlign w:val="bottom"/>
          </w:tcPr>
          <w:p>
            <w:pPr>
              <w:spacing w:after="0"/>
              <w:rPr>
                <w:sz w:val="8"/>
                <w:szCs w:val="8"/>
                <w:color w:val="auto"/>
              </w:rPr>
            </w:pPr>
          </w:p>
        </w:tc>
        <w:tc>
          <w:tcPr>
            <w:tcW w:w="1280" w:type="dxa"/>
            <w:vAlign w:val="bottom"/>
          </w:tcPr>
          <w:p>
            <w:pPr>
              <w:jc w:val="center"/>
              <w:ind w:left="153"/>
              <w:spacing w:after="0" w:line="99" w:lineRule="exact"/>
              <w:rPr>
                <w:sz w:val="20"/>
                <w:szCs w:val="20"/>
                <w:color w:val="auto"/>
              </w:rPr>
            </w:pPr>
            <w:r>
              <w:rPr>
                <w:rFonts w:ascii="Arial" w:cs="Arial" w:eastAsia="Arial" w:hAnsi="Arial"/>
                <w:sz w:val="10"/>
                <w:szCs w:val="10"/>
                <w:b w:val="1"/>
                <w:bCs w:val="1"/>
                <w:color w:val="auto"/>
                <w:w w:val="90"/>
              </w:rPr>
              <w:t>Markets for Identical</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Significant Other</w:t>
            </w: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99"/>
        </w:trPr>
        <w:tc>
          <w:tcPr>
            <w:tcW w:w="3840" w:type="dxa"/>
            <w:vAlign w:val="bottom"/>
          </w:tcPr>
          <w:p>
            <w:pPr>
              <w:spacing w:after="0"/>
              <w:rPr>
                <w:sz w:val="8"/>
                <w:szCs w:val="8"/>
                <w:color w:val="auto"/>
              </w:rPr>
            </w:pPr>
          </w:p>
        </w:tc>
        <w:tc>
          <w:tcPr>
            <w:tcW w:w="1280" w:type="dxa"/>
            <w:vAlign w:val="bottom"/>
          </w:tcPr>
          <w:p>
            <w:pPr>
              <w:jc w:val="center"/>
              <w:ind w:left="173"/>
              <w:spacing w:after="0" w:line="99" w:lineRule="exact"/>
              <w:rPr>
                <w:sz w:val="20"/>
                <w:szCs w:val="20"/>
                <w:color w:val="auto"/>
              </w:rPr>
            </w:pPr>
            <w:r>
              <w:rPr>
                <w:rFonts w:ascii="Arial" w:cs="Arial" w:eastAsia="Arial" w:hAnsi="Arial"/>
                <w:sz w:val="10"/>
                <w:szCs w:val="10"/>
                <w:b w:val="1"/>
                <w:bCs w:val="1"/>
                <w:color w:val="auto"/>
                <w:w w:val="84"/>
              </w:rPr>
              <w:t>Assets and Liabilities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40" w:type="dxa"/>
            <w:vAlign w:val="bottom"/>
          </w:tcPr>
          <w:p>
            <w:pPr>
              <w:spacing w:after="0"/>
              <w:rPr>
                <w:sz w:val="8"/>
                <w:szCs w:val="8"/>
                <w:color w:val="auto"/>
              </w:rPr>
            </w:pPr>
          </w:p>
        </w:tc>
        <w:tc>
          <w:tcPr>
            <w:tcW w:w="1320" w:type="dxa"/>
            <w:vAlign w:val="bottom"/>
            <w:gridSpan w:val="2"/>
          </w:tcPr>
          <w:p>
            <w:pPr>
              <w:ind w:left="100"/>
              <w:spacing w:after="0" w:line="99" w:lineRule="exact"/>
              <w:rPr>
                <w:sz w:val="20"/>
                <w:szCs w:val="20"/>
                <w:color w:val="auto"/>
              </w:rPr>
            </w:pPr>
            <w:r>
              <w:rPr>
                <w:rFonts w:ascii="Arial" w:cs="Arial" w:eastAsia="Arial" w:hAnsi="Arial"/>
                <w:sz w:val="10"/>
                <w:szCs w:val="10"/>
                <w:b w:val="1"/>
                <w:bCs w:val="1"/>
                <w:color w:val="auto"/>
              </w:rPr>
              <w:t>Unobservable Inputs</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13"/>
        </w:trPr>
        <w:tc>
          <w:tcPr>
            <w:tcW w:w="3840" w:type="dxa"/>
            <w:vAlign w:val="bottom"/>
          </w:tcPr>
          <w:p>
            <w:pPr>
              <w:spacing w:after="0"/>
              <w:rPr>
                <w:sz w:val="9"/>
                <w:szCs w:val="9"/>
                <w:color w:val="auto"/>
              </w:rPr>
            </w:pPr>
          </w:p>
        </w:tc>
        <w:tc>
          <w:tcPr>
            <w:tcW w:w="1280" w:type="dxa"/>
            <w:vAlign w:val="bottom"/>
          </w:tcPr>
          <w:p>
            <w:pPr>
              <w:jc w:val="center"/>
              <w:ind w:left="153"/>
              <w:spacing w:after="0" w:line="114" w:lineRule="exact"/>
              <w:rPr>
                <w:sz w:val="20"/>
                <w:szCs w:val="20"/>
                <w:color w:val="auto"/>
              </w:rPr>
            </w:pPr>
            <w:r>
              <w:rPr>
                <w:rFonts w:ascii="Arial" w:cs="Arial" w:eastAsia="Arial" w:hAnsi="Arial"/>
                <w:sz w:val="10"/>
                <w:szCs w:val="10"/>
                <w:b w:val="1"/>
                <w:bCs w:val="1"/>
                <w:color w:val="auto"/>
                <w:w w:val="88"/>
              </w:rPr>
              <w:t>(Level 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8"/>
              </w:rPr>
              <w:t>(Level 2)</w:t>
            </w:r>
          </w:p>
        </w:tc>
        <w:tc>
          <w:tcPr>
            <w:tcW w:w="140" w:type="dxa"/>
            <w:vAlign w:val="bottom"/>
          </w:tcPr>
          <w:p>
            <w:pPr>
              <w:spacing w:after="0"/>
              <w:rPr>
                <w:sz w:val="9"/>
                <w:szCs w:val="9"/>
                <w:color w:val="auto"/>
              </w:rPr>
            </w:pPr>
          </w:p>
        </w:tc>
        <w:tc>
          <w:tcPr>
            <w:tcW w:w="1320" w:type="dxa"/>
            <w:vAlign w:val="bottom"/>
            <w:gridSpan w:val="2"/>
          </w:tcPr>
          <w:p>
            <w:pPr>
              <w:ind w:left="340"/>
              <w:spacing w:after="0" w:line="114" w:lineRule="exact"/>
              <w:rPr>
                <w:sz w:val="20"/>
                <w:szCs w:val="20"/>
                <w:color w:val="auto"/>
              </w:rPr>
            </w:pPr>
            <w:r>
              <w:rPr>
                <w:rFonts w:ascii="Arial" w:cs="Arial" w:eastAsia="Arial" w:hAnsi="Arial"/>
                <w:sz w:val="10"/>
                <w:szCs w:val="10"/>
                <w:b w:val="1"/>
                <w:bCs w:val="1"/>
                <w:color w:val="auto"/>
              </w:rPr>
              <w:t>(Level 3)</w:t>
            </w:r>
          </w:p>
        </w:tc>
        <w:tc>
          <w:tcPr>
            <w:tcW w:w="160" w:type="dxa"/>
            <w:vAlign w:val="bottom"/>
          </w:tcPr>
          <w:p>
            <w:pPr>
              <w:spacing w:after="0"/>
              <w:rPr>
                <w:sz w:val="9"/>
                <w:szCs w:val="9"/>
                <w:color w:val="auto"/>
              </w:rPr>
            </w:pPr>
          </w:p>
        </w:tc>
        <w:tc>
          <w:tcPr>
            <w:tcW w:w="560" w:type="dxa"/>
            <w:vAlign w:val="bottom"/>
          </w:tcPr>
          <w:p>
            <w:pPr>
              <w:jc w:val="right"/>
              <w:ind w:right="182"/>
              <w:spacing w:after="0" w:line="114" w:lineRule="exact"/>
              <w:rPr>
                <w:sz w:val="20"/>
                <w:szCs w:val="20"/>
                <w:color w:val="auto"/>
              </w:rPr>
            </w:pPr>
            <w:r>
              <w:rPr>
                <w:rFonts w:ascii="Arial" w:cs="Arial" w:eastAsia="Arial" w:hAnsi="Arial"/>
                <w:sz w:val="10"/>
                <w:szCs w:val="10"/>
                <w:b w:val="1"/>
                <w:bCs w:val="1"/>
                <w:color w:val="auto"/>
              </w:rPr>
              <w:t>Total</w:t>
            </w:r>
          </w:p>
        </w:tc>
      </w:tr>
      <w:tr>
        <w:trPr>
          <w:trHeight w:val="133"/>
        </w:trPr>
        <w:tc>
          <w:tcPr>
            <w:tcW w:w="3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April 30, 2021:</w:t>
            </w: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Assets: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Derivative financial instruments: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140"/>
              <w:spacing w:after="0"/>
              <w:rPr>
                <w:sz w:val="20"/>
                <w:szCs w:val="20"/>
                <w:color w:val="auto"/>
              </w:rPr>
            </w:pPr>
            <w:r>
              <w:rPr>
                <w:rFonts w:ascii="Arial" w:cs="Arial" w:eastAsia="Arial" w:hAnsi="Arial"/>
                <w:sz w:val="12"/>
                <w:szCs w:val="12"/>
                <w:color w:val="auto"/>
              </w:rPr>
              <w:t>Commodity derivatives</w:t>
            </w:r>
          </w:p>
        </w:tc>
        <w:tc>
          <w:tcPr>
            <w:tcW w:w="1280" w:type="dxa"/>
            <w:vAlign w:val="bottom"/>
          </w:tcPr>
          <w:p>
            <w:pPr>
              <w:jc w:val="right"/>
              <w:ind w:right="1173"/>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33,914</w:t>
            </w:r>
          </w:p>
        </w:tc>
        <w:tc>
          <w:tcPr>
            <w:tcW w:w="1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33,914</w:t>
            </w: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80"/>
              <w:spacing w:after="0"/>
              <w:rPr>
                <w:sz w:val="20"/>
                <w:szCs w:val="20"/>
                <w:color w:val="auto"/>
              </w:rPr>
            </w:pPr>
            <w:r>
              <w:rPr>
                <w:rFonts w:ascii="Arial" w:cs="Arial" w:eastAsia="Arial" w:hAnsi="Arial"/>
                <w:sz w:val="12"/>
                <w:szCs w:val="12"/>
                <w:color w:val="auto"/>
              </w:rPr>
              <w:t>Derivative financial instruments: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Commodity derivatives</w:t>
            </w:r>
          </w:p>
        </w:tc>
        <w:tc>
          <w:tcPr>
            <w:tcW w:w="1280" w:type="dxa"/>
            <w:vAlign w:val="bottom"/>
            <w:shd w:val="clear" w:color="auto" w:fill="CCEEFF"/>
          </w:tcPr>
          <w:p>
            <w:pPr>
              <w:jc w:val="right"/>
              <w:ind w:right="1173"/>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(1,731)</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(1,731)</w:t>
            </w:r>
          </w:p>
        </w:tc>
      </w:tr>
      <w:tr>
        <w:trPr>
          <w:trHeight w:val="144"/>
        </w:trPr>
        <w:tc>
          <w:tcPr>
            <w:tcW w:w="3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July 31, 2020:</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Assets: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Derivative financial instruments: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140"/>
              <w:spacing w:after="0"/>
              <w:rPr>
                <w:sz w:val="20"/>
                <w:szCs w:val="20"/>
                <w:color w:val="auto"/>
              </w:rPr>
            </w:pPr>
            <w:r>
              <w:rPr>
                <w:rFonts w:ascii="Arial" w:cs="Arial" w:eastAsia="Arial" w:hAnsi="Arial"/>
                <w:sz w:val="12"/>
                <w:szCs w:val="12"/>
                <w:color w:val="auto"/>
              </w:rPr>
              <w:t>Commodity derivatives</w:t>
            </w:r>
          </w:p>
        </w:tc>
        <w:tc>
          <w:tcPr>
            <w:tcW w:w="1280" w:type="dxa"/>
            <w:vAlign w:val="bottom"/>
          </w:tcPr>
          <w:p>
            <w:pPr>
              <w:jc w:val="right"/>
              <w:ind w:right="1173"/>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3,112</w:t>
            </w:r>
          </w:p>
        </w:tc>
        <w:tc>
          <w:tcPr>
            <w:tcW w:w="1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3,112</w:t>
            </w: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80"/>
              <w:spacing w:after="0"/>
              <w:rPr>
                <w:sz w:val="20"/>
                <w:szCs w:val="20"/>
                <w:color w:val="auto"/>
              </w:rPr>
            </w:pPr>
            <w:r>
              <w:rPr>
                <w:rFonts w:ascii="Arial" w:cs="Arial" w:eastAsia="Arial" w:hAnsi="Arial"/>
                <w:sz w:val="12"/>
                <w:szCs w:val="12"/>
                <w:color w:val="auto"/>
              </w:rPr>
              <w:t>Derivative financial instruments: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Commodity derivatives</w:t>
            </w:r>
          </w:p>
        </w:tc>
        <w:tc>
          <w:tcPr>
            <w:tcW w:w="1280" w:type="dxa"/>
            <w:vAlign w:val="bottom"/>
            <w:shd w:val="clear" w:color="auto" w:fill="CCEEFF"/>
          </w:tcPr>
          <w:p>
            <w:pPr>
              <w:jc w:val="right"/>
              <w:ind w:right="1173"/>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(5,425)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(5,425)</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Methodology</w:t>
      </w:r>
    </w:p>
    <w:p>
      <w:pPr>
        <w:spacing w:after="0" w:line="150" w:lineRule="exact"/>
        <w:rPr>
          <w:sz w:val="20"/>
          <w:szCs w:val="20"/>
          <w:color w:val="auto"/>
        </w:rPr>
      </w:pPr>
    </w:p>
    <w:p>
      <w:pPr>
        <w:ind w:left="20" w:right="239"/>
        <w:spacing w:after="0" w:line="276" w:lineRule="auto"/>
        <w:rPr>
          <w:sz w:val="20"/>
          <w:szCs w:val="20"/>
          <w:color w:val="auto"/>
        </w:rPr>
      </w:pPr>
      <w:r>
        <w:rPr>
          <w:rFonts w:ascii="Arial" w:cs="Arial" w:eastAsia="Arial" w:hAnsi="Arial"/>
          <w:sz w:val="12"/>
          <w:szCs w:val="12"/>
          <w:color w:val="auto"/>
        </w:rPr>
        <w:t>The fair values of Ferrellgas’ non-exchange traded commodity derivative contracts are based upon indicative price quotations available through brokers, industry price publications or recent market transactions and related market indicators.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Other financial instruments</w:t>
      </w:r>
    </w:p>
    <w:p>
      <w:pPr>
        <w:spacing w:after="0" w:line="150"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The carrying amounts of other financial instruments included in current assets and current liabilities (except for current maturities of long-term debt) approximate their fair values because of their short-term nature. At April 30, 2021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6" w:name="page27"/>
    <w:bookmarkEnd w:id="2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39"/>
        <w:spacing w:after="0" w:line="323" w:lineRule="auto"/>
        <w:rPr>
          <w:sz w:val="20"/>
          <w:szCs w:val="20"/>
          <w:color w:val="auto"/>
        </w:rPr>
      </w:pPr>
      <w:r>
        <w:rPr>
          <w:rFonts w:ascii="Arial" w:cs="Arial" w:eastAsia="Arial" w:hAnsi="Arial"/>
          <w:sz w:val="11"/>
          <w:szCs w:val="11"/>
          <w:color w:val="auto"/>
        </w:rPr>
        <w:t>July 31, 2020, the estimated fair value of Ferrellgas’ long-term debt instruments was $1,462.4 million and $2,177.1 million, respectively. Ferrellgas estimates the fair value of long-term debt based on quoted market prices. The fair value of Ferrellgas’ consolidated debt obligations is a Level 2 valuation based on the observable inputs used for similar liabilities.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Class B Units</w:t>
      </w:r>
    </w:p>
    <w:p>
      <w:pPr>
        <w:spacing w:after="0" w:line="150"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The fair value of Class B units approximates the carrying value of the principal and interest of the Ferrellgas Partners Notes of $390.1 million and thus no gain (loss) on extinguishment was recognized.</w:t>
      </w:r>
    </w:p>
    <w:p>
      <w:pPr>
        <w:spacing w:after="0" w:line="97"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11" w:lineRule="exact"/>
        <w:rPr>
          <w:sz w:val="20"/>
          <w:szCs w:val="20"/>
          <w:color w:val="auto"/>
        </w:rPr>
      </w:pPr>
    </w:p>
    <w:p>
      <w:pPr>
        <w:ind w:left="260" w:hanging="238"/>
        <w:spacing w:after="0"/>
        <w:tabs>
          <w:tab w:leader="none" w:pos="260"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Derivative instruments and hedging activities</w:t>
      </w:r>
    </w:p>
    <w:p>
      <w:pPr>
        <w:spacing w:after="0" w:line="154" w:lineRule="exact"/>
        <w:rPr>
          <w:sz w:val="20"/>
          <w:szCs w:val="20"/>
          <w:color w:val="auto"/>
        </w:rPr>
      </w:pPr>
    </w:p>
    <w:p>
      <w:pPr>
        <w:jc w:val="both"/>
        <w:ind w:left="20" w:right="59"/>
        <w:spacing w:after="0" w:line="263" w:lineRule="auto"/>
        <w:rPr>
          <w:sz w:val="20"/>
          <w:szCs w:val="20"/>
          <w:color w:val="auto"/>
        </w:rPr>
      </w:pPr>
      <w:r>
        <w:rPr>
          <w:rFonts w:ascii="Arial" w:cs="Arial" w:eastAsia="Arial" w:hAnsi="Arial"/>
          <w:sz w:val="12"/>
          <w:szCs w:val="12"/>
          <w:color w:val="auto"/>
        </w:rPr>
        <w:t>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instruments and hedging activity</w:t>
      </w:r>
    </w:p>
    <w:p>
      <w:pPr>
        <w:spacing w:after="0" w:line="150"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During the nine months ended April 30, 2021 and 2020, Ferrellgas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tables provide a summary of the fair value of derivatives within Ferrellgas’ condensed consolidated balance sheets as of April 30, 2021 and July 31, 2020:</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Final</w:t>
            </w:r>
          </w:p>
        </w:tc>
        <w:tc>
          <w:tcPr>
            <w:tcW w:w="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April 30, 2021</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88"/>
        </w:trPr>
        <w:tc>
          <w:tcPr>
            <w:tcW w:w="2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7"/>
              </w:rPr>
              <w:t>Maturity</w:t>
            </w:r>
          </w:p>
        </w:tc>
        <w:tc>
          <w:tcPr>
            <w:tcW w:w="2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ind w:left="1080"/>
              <w:spacing w:after="0" w:line="88" w:lineRule="exact"/>
              <w:rPr>
                <w:sz w:val="20"/>
                <w:szCs w:val="20"/>
                <w:color w:val="auto"/>
              </w:rPr>
            </w:pPr>
            <w:r>
              <w:rPr>
                <w:rFonts w:ascii="Arial" w:cs="Arial" w:eastAsia="Arial" w:hAnsi="Arial"/>
                <w:sz w:val="10"/>
                <w:szCs w:val="10"/>
                <w:b w:val="1"/>
                <w:bCs w:val="1"/>
                <w:color w:val="auto"/>
              </w:rPr>
              <w:t>Asset Derivatives</w:t>
            </w: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Borders>
              <w:bottom w:val="single" w:sz="8" w:color="auto"/>
            </w:tcBorders>
            <w:gridSpan w:val="6"/>
          </w:tcPr>
          <w:p>
            <w:pPr>
              <w:jc w:val="right"/>
              <w:ind w:right="443"/>
              <w:spacing w:after="0" w:line="88" w:lineRule="exact"/>
              <w:rPr>
                <w:sz w:val="20"/>
                <w:szCs w:val="20"/>
                <w:color w:val="auto"/>
              </w:rPr>
            </w:pPr>
            <w:r>
              <w:rPr>
                <w:rFonts w:ascii="Arial" w:cs="Arial" w:eastAsia="Arial" w:hAnsi="Arial"/>
                <w:sz w:val="10"/>
                <w:szCs w:val="10"/>
                <w:b w:val="1"/>
                <w:bCs w:val="1"/>
                <w:color w:val="auto"/>
              </w:rPr>
              <w:t>Liability Derivatives</w:t>
            </w:r>
          </w:p>
        </w:tc>
      </w:tr>
      <w:tr>
        <w:trPr>
          <w:trHeight w:val="88"/>
        </w:trPr>
        <w:tc>
          <w:tcPr>
            <w:tcW w:w="2880" w:type="dxa"/>
            <w:vAlign w:val="bottom"/>
            <w:gridSpan w:val="3"/>
          </w:tcPr>
          <w:p>
            <w:pPr>
              <w:ind w:left="920"/>
              <w:spacing w:after="0" w:line="88" w:lineRule="exact"/>
              <w:rPr>
                <w:sz w:val="20"/>
                <w:szCs w:val="20"/>
                <w:color w:val="auto"/>
              </w:rPr>
            </w:pPr>
            <w:r>
              <w:rPr>
                <w:rFonts w:ascii="Arial" w:cs="Arial" w:eastAsia="Arial" w:hAnsi="Arial"/>
                <w:sz w:val="10"/>
                <w:szCs w:val="10"/>
                <w:b w:val="1"/>
                <w:bCs w:val="1"/>
                <w:color w:val="auto"/>
              </w:rPr>
              <w:t>Derivative Instrument</w:t>
            </w: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82"/>
              </w:rPr>
              <w:t>Date</w:t>
            </w:r>
          </w:p>
        </w:tc>
        <w:tc>
          <w:tcPr>
            <w:tcW w:w="20" w:type="dxa"/>
            <w:vAlign w:val="bottom"/>
          </w:tcPr>
          <w:p>
            <w:pPr>
              <w:spacing w:after="0"/>
              <w:rPr>
                <w:sz w:val="7"/>
                <w:szCs w:val="7"/>
                <w:color w:val="auto"/>
              </w:rPr>
            </w:pPr>
          </w:p>
        </w:tc>
        <w:tc>
          <w:tcPr>
            <w:tcW w:w="2040" w:type="dxa"/>
            <w:vAlign w:val="bottom"/>
          </w:tcPr>
          <w:p>
            <w:pPr>
              <w:ind w:left="82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340"/>
              <w:spacing w:after="0" w:line="88" w:lineRule="exact"/>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63"/>
              <w:spacing w:after="0" w:line="88" w:lineRule="exact"/>
              <w:rPr>
                <w:sz w:val="20"/>
                <w:szCs w:val="20"/>
                <w:color w:val="auto"/>
              </w:rPr>
            </w:pPr>
            <w:r>
              <w:rPr>
                <w:rFonts w:ascii="Arial" w:cs="Arial" w:eastAsia="Arial" w:hAnsi="Arial"/>
                <w:sz w:val="10"/>
                <w:szCs w:val="10"/>
                <w:b w:val="1"/>
                <w:bCs w:val="1"/>
                <w:color w:val="auto"/>
                <w:w w:val="94"/>
              </w:rPr>
              <w:t>Fair value</w:t>
            </w:r>
          </w:p>
        </w:tc>
      </w:tr>
      <w:tr>
        <w:trPr>
          <w:trHeight w:val="133"/>
        </w:trPr>
        <w:tc>
          <w:tcPr>
            <w:tcW w:w="27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Derivatives designated as hedging instruments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December 2023</w:t>
            </w:r>
          </w:p>
        </w:tc>
        <w:tc>
          <w:tcPr>
            <w:tcW w:w="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r>
      <w:tr>
        <w:trPr>
          <w:trHeight w:val="135"/>
        </w:trPr>
        <w:tc>
          <w:tcPr>
            <w:tcW w:w="2880" w:type="dxa"/>
            <w:vAlign w:val="bottom"/>
            <w:gridSpan w:val="3"/>
          </w:tcPr>
          <w:p>
            <w:pPr>
              <w:ind w:left="80"/>
              <w:spacing w:after="0" w:line="135" w:lineRule="exact"/>
              <w:rPr>
                <w:sz w:val="20"/>
                <w:szCs w:val="20"/>
                <w:color w:val="auto"/>
              </w:rPr>
            </w:pPr>
            <w:r>
              <w:rPr>
                <w:rFonts w:ascii="Arial" w:cs="Arial" w:eastAsia="Arial" w:hAnsi="Arial"/>
                <w:sz w:val="12"/>
                <w:szCs w:val="12"/>
                <w:color w:val="auto"/>
              </w:rPr>
              <w:t>Commodity derivatives-propane</w:t>
            </w: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Arial" w:cs="Arial" w:eastAsia="Arial" w:hAnsi="Arial"/>
                <w:sz w:val="12"/>
                <w:szCs w:val="12"/>
                <w:color w:val="auto"/>
                <w:w w:val="89"/>
              </w:rPr>
              <w:t>Prepaid expenses and other current assets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color w:val="auto"/>
              </w:rPr>
              <w:t>Other current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240"/>
              <w:spacing w:after="0"/>
              <w:rPr>
                <w:sz w:val="20"/>
                <w:szCs w:val="20"/>
                <w:color w:val="auto"/>
              </w:rPr>
            </w:pPr>
            <w:r>
              <w:rPr>
                <w:rFonts w:ascii="Arial" w:cs="Arial" w:eastAsia="Arial" w:hAnsi="Arial"/>
                <w:sz w:val="12"/>
                <w:szCs w:val="12"/>
                <w:color w:val="auto"/>
                <w:w w:val="92"/>
              </w:rPr>
              <w:t>29,612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833</w:t>
            </w:r>
          </w:p>
        </w:tc>
      </w:tr>
      <w:tr>
        <w:trPr>
          <w:trHeight w:val="144"/>
        </w:trPr>
        <w:tc>
          <w:tcPr>
            <w:tcW w:w="288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Commodity derivatives-propane</w:t>
            </w:r>
          </w:p>
        </w:tc>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2"/>
                <w:szCs w:val="12"/>
                <w:color w:val="auto"/>
                <w:w w:val="93"/>
              </w:rPr>
              <w:t>4,302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898</w:t>
            </w:r>
          </w:p>
        </w:tc>
      </w:tr>
      <w:tr>
        <w:trPr>
          <w:trHeight w:val="140"/>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6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ind w:left="240"/>
              <w:spacing w:after="0" w:line="133" w:lineRule="exact"/>
              <w:rPr>
                <w:sz w:val="20"/>
                <w:szCs w:val="20"/>
                <w:color w:val="auto"/>
              </w:rPr>
            </w:pPr>
            <w:r>
              <w:rPr>
                <w:rFonts w:ascii="Arial" w:cs="Arial" w:eastAsia="Arial" w:hAnsi="Arial"/>
                <w:sz w:val="12"/>
                <w:szCs w:val="12"/>
                <w:color w:val="auto"/>
                <w:w w:val="92"/>
              </w:rPr>
              <w:t>33,914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1,731</w:t>
            </w:r>
          </w:p>
        </w:tc>
      </w:tr>
      <w:tr>
        <w:trPr>
          <w:trHeight w:val="252"/>
        </w:trPr>
        <w:tc>
          <w:tcPr>
            <w:tcW w:w="2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Final</w:t>
            </w:r>
          </w:p>
        </w:tc>
        <w:tc>
          <w:tcPr>
            <w:tcW w:w="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July 31, 2020</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88"/>
        </w:trPr>
        <w:tc>
          <w:tcPr>
            <w:tcW w:w="2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7"/>
              </w:rPr>
              <w:t>Maturity</w:t>
            </w:r>
          </w:p>
        </w:tc>
        <w:tc>
          <w:tcPr>
            <w:tcW w:w="20" w:type="dxa"/>
            <w:vAlign w:val="bottom"/>
          </w:tcPr>
          <w:p>
            <w:pPr>
              <w:spacing w:after="0"/>
              <w:rPr>
                <w:sz w:val="7"/>
                <w:szCs w:val="7"/>
                <w:color w:val="auto"/>
              </w:rPr>
            </w:pPr>
          </w:p>
        </w:tc>
        <w:tc>
          <w:tcPr>
            <w:tcW w:w="2040" w:type="dxa"/>
            <w:vAlign w:val="bottom"/>
            <w:tcBorders>
              <w:bottom w:val="single" w:sz="8" w:color="auto"/>
            </w:tcBorders>
          </w:tcPr>
          <w:p>
            <w:pPr>
              <w:ind w:left="1060"/>
              <w:spacing w:after="0" w:line="88" w:lineRule="exact"/>
              <w:rPr>
                <w:sz w:val="20"/>
                <w:szCs w:val="20"/>
                <w:color w:val="auto"/>
              </w:rPr>
            </w:pPr>
            <w:r>
              <w:rPr>
                <w:rFonts w:ascii="Arial" w:cs="Arial" w:eastAsia="Arial" w:hAnsi="Arial"/>
                <w:sz w:val="10"/>
                <w:szCs w:val="10"/>
                <w:b w:val="1"/>
                <w:bCs w:val="1"/>
                <w:color w:val="auto"/>
              </w:rPr>
              <w:t>Asset Derivatives</w:t>
            </w: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6"/>
          </w:tcPr>
          <w:p>
            <w:pPr>
              <w:jc w:val="right"/>
              <w:ind w:right="483"/>
              <w:spacing w:after="0" w:line="88" w:lineRule="exact"/>
              <w:rPr>
                <w:sz w:val="20"/>
                <w:szCs w:val="20"/>
                <w:color w:val="auto"/>
              </w:rPr>
            </w:pPr>
            <w:r>
              <w:rPr>
                <w:rFonts w:ascii="Arial" w:cs="Arial" w:eastAsia="Arial" w:hAnsi="Arial"/>
                <w:sz w:val="10"/>
                <w:szCs w:val="10"/>
                <w:b w:val="1"/>
                <w:bCs w:val="1"/>
                <w:color w:val="auto"/>
              </w:rPr>
              <w:t>Liability Derivatives</w:t>
            </w:r>
          </w:p>
        </w:tc>
      </w:tr>
      <w:tr>
        <w:trPr>
          <w:trHeight w:val="88"/>
        </w:trPr>
        <w:tc>
          <w:tcPr>
            <w:tcW w:w="2880" w:type="dxa"/>
            <w:vAlign w:val="bottom"/>
            <w:gridSpan w:val="3"/>
          </w:tcPr>
          <w:p>
            <w:pPr>
              <w:ind w:left="920"/>
              <w:spacing w:after="0" w:line="88" w:lineRule="exact"/>
              <w:rPr>
                <w:sz w:val="20"/>
                <w:szCs w:val="20"/>
                <w:color w:val="auto"/>
              </w:rPr>
            </w:pPr>
            <w:r>
              <w:rPr>
                <w:rFonts w:ascii="Arial" w:cs="Arial" w:eastAsia="Arial" w:hAnsi="Arial"/>
                <w:sz w:val="10"/>
                <w:szCs w:val="10"/>
                <w:b w:val="1"/>
                <w:bCs w:val="1"/>
                <w:color w:val="auto"/>
              </w:rPr>
              <w:t>Derivative Instrument</w:t>
            </w: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2"/>
              </w:rPr>
              <w:t>Date</w:t>
            </w:r>
          </w:p>
        </w:tc>
        <w:tc>
          <w:tcPr>
            <w:tcW w:w="20" w:type="dxa"/>
            <w:vAlign w:val="bottom"/>
          </w:tcPr>
          <w:p>
            <w:pPr>
              <w:spacing w:after="0"/>
              <w:rPr>
                <w:sz w:val="7"/>
                <w:szCs w:val="7"/>
                <w:color w:val="auto"/>
              </w:rPr>
            </w:pPr>
          </w:p>
        </w:tc>
        <w:tc>
          <w:tcPr>
            <w:tcW w:w="2040" w:type="dxa"/>
            <w:vAlign w:val="bottom"/>
          </w:tcPr>
          <w:p>
            <w:pPr>
              <w:ind w:left="84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ind w:right="43"/>
              <w:spacing w:after="0" w:line="88" w:lineRule="exact"/>
              <w:rPr>
                <w:sz w:val="20"/>
                <w:szCs w:val="20"/>
                <w:color w:val="auto"/>
              </w:rPr>
            </w:pPr>
            <w:r>
              <w:rPr>
                <w:rFonts w:ascii="Arial" w:cs="Arial" w:eastAsia="Arial" w:hAnsi="Arial"/>
                <w:sz w:val="10"/>
                <w:szCs w:val="10"/>
                <w:b w:val="1"/>
                <w:bCs w:val="1"/>
                <w:color w:val="auto"/>
                <w:w w:val="89"/>
              </w:rPr>
              <w:t>Fair value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280"/>
              <w:spacing w:after="0" w:line="88" w:lineRule="exact"/>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83"/>
              <w:spacing w:after="0" w:line="88" w:lineRule="exact"/>
              <w:rPr>
                <w:sz w:val="20"/>
                <w:szCs w:val="20"/>
                <w:color w:val="auto"/>
              </w:rPr>
            </w:pPr>
            <w:r>
              <w:rPr>
                <w:rFonts w:ascii="Arial" w:cs="Arial" w:eastAsia="Arial" w:hAnsi="Arial"/>
                <w:sz w:val="10"/>
                <w:szCs w:val="10"/>
                <w:b w:val="1"/>
                <w:bCs w:val="1"/>
                <w:color w:val="auto"/>
                <w:w w:val="89"/>
              </w:rPr>
              <w:t>Fair value</w:t>
            </w:r>
          </w:p>
        </w:tc>
      </w:tr>
      <w:tr>
        <w:trPr>
          <w:trHeight w:val="133"/>
        </w:trPr>
        <w:tc>
          <w:tcPr>
            <w:tcW w:w="276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Derivatives designated as hedging instruments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December 2021</w:t>
            </w:r>
          </w:p>
        </w:tc>
        <w:tc>
          <w:tcPr>
            <w:tcW w:w="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r>
      <w:tr>
        <w:trPr>
          <w:trHeight w:val="135"/>
        </w:trPr>
        <w:tc>
          <w:tcPr>
            <w:tcW w:w="2880" w:type="dxa"/>
            <w:vAlign w:val="bottom"/>
            <w:gridSpan w:val="3"/>
          </w:tcPr>
          <w:p>
            <w:pPr>
              <w:ind w:left="80"/>
              <w:spacing w:after="0" w:line="135" w:lineRule="exact"/>
              <w:rPr>
                <w:sz w:val="20"/>
                <w:szCs w:val="20"/>
                <w:color w:val="auto"/>
              </w:rPr>
            </w:pPr>
            <w:r>
              <w:rPr>
                <w:rFonts w:ascii="Arial" w:cs="Arial" w:eastAsia="Arial" w:hAnsi="Arial"/>
                <w:sz w:val="12"/>
                <w:szCs w:val="12"/>
                <w:color w:val="auto"/>
              </w:rPr>
              <w:t>Commodity derivatives-propane</w:t>
            </w: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line="135" w:lineRule="exact"/>
              <w:rPr>
                <w:sz w:val="20"/>
                <w:szCs w:val="20"/>
                <w:color w:val="auto"/>
              </w:rPr>
            </w:pPr>
            <w:r>
              <w:rPr>
                <w:rFonts w:ascii="Arial" w:cs="Arial" w:eastAsia="Arial" w:hAnsi="Arial"/>
                <w:sz w:val="12"/>
                <w:szCs w:val="12"/>
                <w:color w:val="auto"/>
                <w:w w:val="88"/>
              </w:rPr>
              <w:t>Prepaid expenses and other current assets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color w:val="auto"/>
              </w:rPr>
              <w:t>Other current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ind w:left="240"/>
              <w:spacing w:after="0"/>
              <w:rPr>
                <w:sz w:val="20"/>
                <w:szCs w:val="20"/>
                <w:color w:val="auto"/>
              </w:rPr>
            </w:pPr>
            <w:r>
              <w:rPr>
                <w:rFonts w:ascii="Arial" w:cs="Arial" w:eastAsia="Arial" w:hAnsi="Arial"/>
                <w:sz w:val="12"/>
                <w:szCs w:val="12"/>
                <w:color w:val="auto"/>
                <w:w w:val="93"/>
              </w:rPr>
              <w:t>2,846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2"/>
                <w:szCs w:val="12"/>
                <w:color w:val="auto"/>
              </w:rPr>
              <w:t>liabilities</w:t>
            </w:r>
          </w:p>
        </w:tc>
        <w:tc>
          <w:tcPr>
            <w:tcW w:w="220" w:type="dxa"/>
            <w:vAlign w:val="bottom"/>
            <w:gridSpan w:val="3"/>
          </w:tcPr>
          <w:p>
            <w:pPr>
              <w:jc w:val="right"/>
              <w:ind w:right="12"/>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5,029</w:t>
            </w:r>
          </w:p>
        </w:tc>
      </w:tr>
      <w:tr>
        <w:trPr>
          <w:trHeight w:val="144"/>
        </w:trPr>
        <w:tc>
          <w:tcPr>
            <w:tcW w:w="288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Commodity derivatives-propane</w:t>
            </w:r>
          </w:p>
        </w:tc>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w w:val="99"/>
              </w:rPr>
              <w:t>266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w:t>
            </w:r>
          </w:p>
        </w:tc>
      </w:tr>
      <w:tr>
        <w:trPr>
          <w:trHeight w:val="140"/>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ind w:left="240"/>
              <w:spacing w:after="0" w:line="133" w:lineRule="exact"/>
              <w:rPr>
                <w:sz w:val="20"/>
                <w:szCs w:val="20"/>
                <w:color w:val="auto"/>
              </w:rPr>
            </w:pPr>
            <w:r>
              <w:rPr>
                <w:rFonts w:ascii="Arial" w:cs="Arial" w:eastAsia="Arial" w:hAnsi="Arial"/>
                <w:sz w:val="12"/>
                <w:szCs w:val="12"/>
                <w:color w:val="auto"/>
                <w:w w:val="93"/>
              </w:rPr>
              <w:t>3,112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5,425</w:t>
            </w:r>
          </w:p>
        </w:tc>
      </w:tr>
      <w:tr>
        <w:trPr>
          <w:trHeight w:val="468"/>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60" w:type="dxa"/>
            <w:vAlign w:val="bottom"/>
            <w:gridSpan w:val="2"/>
          </w:tcPr>
          <w:p>
            <w:pPr>
              <w:jc w:val="right"/>
              <w:ind w:right="1527"/>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0"/>
        </w:trPr>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27" w:name="page28"/>
    <w:bookmarkEnd w:id="2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299"/>
        <w:spacing w:after="0" w:line="259" w:lineRule="auto"/>
        <w:rPr>
          <w:sz w:val="20"/>
          <w:szCs w:val="20"/>
          <w:color w:val="auto"/>
        </w:rPr>
      </w:pPr>
      <w:r>
        <w:rPr>
          <w:rFonts w:ascii="Arial" w:cs="Arial" w:eastAsia="Arial" w:hAnsi="Arial"/>
          <w:sz w:val="12"/>
          <w:szCs w:val="12"/>
          <w:color w:val="auto"/>
        </w:rPr>
        <w:t>Ferrellgas’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for contracts that are in a positive mark-to-market position. The following tables provide a summary of cash margin balances as of April 30, 2021 and July 31, 2020, respectively: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w w:val="86"/>
              </w:rPr>
              <w:t>April 30, 2021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40" w:type="dxa"/>
            <w:vAlign w:val="bottom"/>
            <w:gridSpan w:val="3"/>
            <w:vMerge w:val="restart"/>
          </w:tcPr>
          <w:p>
            <w:pPr>
              <w:ind w:left="152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gridSpan w:val="3"/>
          </w:tcPr>
          <w:p>
            <w:pPr>
              <w:ind w:left="1380"/>
              <w:spacing w:after="0" w:line="88" w:lineRule="exact"/>
              <w:rPr>
                <w:sz w:val="20"/>
                <w:szCs w:val="20"/>
                <w:color w:val="auto"/>
              </w:rPr>
            </w:pPr>
            <w:r>
              <w:rPr>
                <w:rFonts w:ascii="Arial" w:cs="Arial" w:eastAsia="Arial" w:hAnsi="Arial"/>
                <w:sz w:val="10"/>
                <w:szCs w:val="10"/>
                <w:b w:val="1"/>
                <w:bCs w:val="1"/>
                <w:color w:val="auto"/>
              </w:rPr>
              <w:t>Assets</w:t>
            </w: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ind w:left="840"/>
              <w:spacing w:after="0" w:line="88" w:lineRule="exact"/>
              <w:rPr>
                <w:sz w:val="20"/>
                <w:szCs w:val="20"/>
                <w:color w:val="auto"/>
              </w:rPr>
            </w:pPr>
            <w:r>
              <w:rPr>
                <w:rFonts w:ascii="Arial" w:cs="Arial" w:eastAsia="Arial" w:hAnsi="Arial"/>
                <w:sz w:val="10"/>
                <w:szCs w:val="10"/>
                <w:b w:val="1"/>
                <w:bCs w:val="1"/>
                <w:color w:val="auto"/>
              </w:rPr>
              <w:t>Liabilities</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340" w:type="dxa"/>
            <w:vAlign w:val="bottom"/>
            <w:gridSpan w:val="3"/>
          </w:tcPr>
          <w:p>
            <w:pPr>
              <w:ind w:left="900"/>
              <w:spacing w:after="0" w:line="88" w:lineRule="exact"/>
              <w:rPr>
                <w:sz w:val="20"/>
                <w:szCs w:val="20"/>
                <w:color w:val="auto"/>
              </w:rPr>
            </w:pPr>
            <w:r>
              <w:rPr>
                <w:rFonts w:ascii="Arial" w:cs="Arial" w:eastAsia="Arial" w:hAnsi="Arial"/>
                <w:sz w:val="10"/>
                <w:szCs w:val="10"/>
                <w:b w:val="1"/>
                <w:bCs w:val="1"/>
                <w:color w:val="auto"/>
              </w:rPr>
              <w:t>Location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123"/>
              <w:spacing w:after="0" w:line="88" w:lineRule="exact"/>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3"/>
          </w:tcPr>
          <w:p>
            <w:pPr>
              <w:ind w:left="440"/>
              <w:spacing w:after="0" w:line="88" w:lineRule="exact"/>
              <w:rPr>
                <w:sz w:val="20"/>
                <w:szCs w:val="20"/>
                <w:color w:val="auto"/>
              </w:rPr>
            </w:pPr>
            <w:r>
              <w:rPr>
                <w:rFonts w:ascii="Arial" w:cs="Arial" w:eastAsia="Arial" w:hAnsi="Arial"/>
                <w:sz w:val="10"/>
                <w:szCs w:val="10"/>
                <w:b w:val="1"/>
                <w:bCs w:val="1"/>
                <w:color w:val="auto"/>
              </w:rPr>
              <w:t>Location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23"/>
              <w:spacing w:after="0" w:line="88" w:lineRule="exact"/>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3"/>
        </w:trPr>
        <w:tc>
          <w:tcPr>
            <w:tcW w:w="35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Margin Balances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w w:val="98"/>
              </w:rPr>
              <w:t>Prepaid expense and other current assets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14,972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Other current liabilities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34,581</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Other assets, net</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3,447</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Other liabilities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4,282</w:t>
            </w:r>
          </w:p>
        </w:tc>
        <w:tc>
          <w:tcPr>
            <w:tcW w:w="0" w:type="dxa"/>
            <w:vAlign w:val="bottom"/>
          </w:tcPr>
          <w:p>
            <w:pPr>
              <w:spacing w:after="0"/>
              <w:rPr>
                <w:sz w:val="1"/>
                <w:szCs w:val="1"/>
                <w:color w:val="auto"/>
              </w:rPr>
            </w:pPr>
          </w:p>
        </w:tc>
      </w:tr>
      <w:tr>
        <w:trPr>
          <w:trHeight w:val="140"/>
        </w:trPr>
        <w:tc>
          <w:tcPr>
            <w:tcW w:w="35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18,419</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38,863</w:t>
            </w: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0"/>
                <w:szCs w:val="10"/>
                <w:b w:val="1"/>
                <w:bCs w:val="1"/>
                <w:color w:val="auto"/>
                <w:w w:val="87"/>
              </w:rPr>
              <w:t>July 31, 2020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640" w:type="dxa"/>
            <w:vAlign w:val="bottom"/>
            <w:gridSpan w:val="3"/>
            <w:vMerge w:val="restart"/>
          </w:tcPr>
          <w:p>
            <w:pPr>
              <w:ind w:left="152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7"/>
                <w:szCs w:val="7"/>
                <w:color w:val="auto"/>
              </w:rPr>
            </w:pPr>
          </w:p>
        </w:tc>
        <w:tc>
          <w:tcPr>
            <w:tcW w:w="2340" w:type="dxa"/>
            <w:vAlign w:val="bottom"/>
            <w:tcBorders>
              <w:bottom w:val="single" w:sz="8" w:color="auto"/>
            </w:tcBorders>
            <w:gridSpan w:val="3"/>
          </w:tcPr>
          <w:p>
            <w:pPr>
              <w:ind w:left="1380"/>
              <w:spacing w:after="0" w:line="88" w:lineRule="exact"/>
              <w:rPr>
                <w:sz w:val="20"/>
                <w:szCs w:val="20"/>
                <w:color w:val="auto"/>
              </w:rPr>
            </w:pPr>
            <w:r>
              <w:rPr>
                <w:rFonts w:ascii="Arial" w:cs="Arial" w:eastAsia="Arial" w:hAnsi="Arial"/>
                <w:sz w:val="10"/>
                <w:szCs w:val="10"/>
                <w:b w:val="1"/>
                <w:bCs w:val="1"/>
                <w:color w:val="auto"/>
              </w:rPr>
              <w:t>Assets</w:t>
            </w: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auto"/>
            </w:tcBorders>
            <w:gridSpan w:val="3"/>
          </w:tcPr>
          <w:p>
            <w:pPr>
              <w:ind w:left="840"/>
              <w:spacing w:after="0" w:line="88" w:lineRule="exact"/>
              <w:rPr>
                <w:sz w:val="20"/>
                <w:szCs w:val="20"/>
                <w:color w:val="auto"/>
              </w:rPr>
            </w:pPr>
            <w:r>
              <w:rPr>
                <w:rFonts w:ascii="Arial" w:cs="Arial" w:eastAsia="Arial" w:hAnsi="Arial"/>
                <w:sz w:val="10"/>
                <w:szCs w:val="10"/>
                <w:b w:val="1"/>
                <w:bCs w:val="1"/>
                <w:color w:val="auto"/>
              </w:rPr>
              <w:t>Liabilities</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340" w:type="dxa"/>
            <w:vAlign w:val="bottom"/>
            <w:gridSpan w:val="3"/>
          </w:tcPr>
          <w:p>
            <w:pPr>
              <w:ind w:left="920"/>
              <w:spacing w:after="0" w:line="88" w:lineRule="exact"/>
              <w:rPr>
                <w:sz w:val="20"/>
                <w:szCs w:val="20"/>
                <w:color w:val="auto"/>
              </w:rPr>
            </w:pPr>
            <w:r>
              <w:rPr>
                <w:rFonts w:ascii="Arial" w:cs="Arial" w:eastAsia="Arial" w:hAnsi="Arial"/>
                <w:sz w:val="10"/>
                <w:szCs w:val="10"/>
                <w:b w:val="1"/>
                <w:bCs w:val="1"/>
                <w:color w:val="auto"/>
              </w:rPr>
              <w:t>Location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123"/>
              <w:spacing w:after="0" w:line="88" w:lineRule="exact"/>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3"/>
          </w:tcPr>
          <w:p>
            <w:pPr>
              <w:ind w:left="440"/>
              <w:spacing w:after="0" w:line="88" w:lineRule="exact"/>
              <w:rPr>
                <w:sz w:val="20"/>
                <w:szCs w:val="20"/>
                <w:color w:val="auto"/>
              </w:rPr>
            </w:pPr>
            <w:r>
              <w:rPr>
                <w:rFonts w:ascii="Arial" w:cs="Arial" w:eastAsia="Arial" w:hAnsi="Arial"/>
                <w:sz w:val="10"/>
                <w:szCs w:val="10"/>
                <w:b w:val="1"/>
                <w:bCs w:val="1"/>
                <w:color w:val="auto"/>
              </w:rPr>
              <w:t>Location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23"/>
              <w:spacing w:after="0" w:line="88" w:lineRule="exact"/>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3"/>
        </w:trPr>
        <w:tc>
          <w:tcPr>
            <w:tcW w:w="352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Margin Balances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w w:val="98"/>
              </w:rPr>
              <w:t>Prepaid expense and other current assets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14,398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Other current liabilities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Other assets, net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Other liabilities</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35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15,831</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tables provide a summary of the effect on Ferrellgas’ condensed consolidated statements of comprehensive income (loss) for the three and nine months ended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30, 2021 and 2020 due to derivatives designated as cash flow hedging instruments: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7"/>
          </w:tcPr>
          <w:p>
            <w:pPr>
              <w:ind w:left="540"/>
              <w:spacing w:after="0"/>
              <w:rPr>
                <w:sz w:val="20"/>
                <w:szCs w:val="20"/>
                <w:color w:val="auto"/>
              </w:rPr>
            </w:pPr>
            <w:r>
              <w:rPr>
                <w:rFonts w:ascii="Arial" w:cs="Arial" w:eastAsia="Arial" w:hAnsi="Arial"/>
                <w:sz w:val="10"/>
                <w:szCs w:val="10"/>
                <w:b w:val="1"/>
                <w:bCs w:val="1"/>
                <w:color w:val="auto"/>
              </w:rPr>
              <w:t>For the three months ended April 30, 2021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74"/>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5"/>
          </w:tcPr>
          <w:p>
            <w:pPr>
              <w:ind w:left="580"/>
              <w:spacing w:after="0" w:line="74" w:lineRule="exact"/>
              <w:rPr>
                <w:sz w:val="20"/>
                <w:szCs w:val="20"/>
                <w:color w:val="auto"/>
              </w:rPr>
            </w:pPr>
            <w:r>
              <w:rPr>
                <w:rFonts w:ascii="Arial" w:cs="Arial" w:eastAsia="Arial" w:hAnsi="Arial"/>
                <w:sz w:val="8"/>
                <w:szCs w:val="8"/>
                <w:b w:val="1"/>
                <w:bCs w:val="1"/>
                <w:color w:val="auto"/>
              </w:rPr>
              <w:t>Amount of Gain (Loss)</w:t>
            </w:r>
          </w:p>
        </w:tc>
        <w:tc>
          <w:tcPr>
            <w:tcW w:w="20" w:type="dxa"/>
            <w:vAlign w:val="bottom"/>
          </w:tcPr>
          <w:p>
            <w:pPr>
              <w:spacing w:after="0"/>
              <w:rPr>
                <w:sz w:val="6"/>
                <w:szCs w:val="6"/>
                <w:color w:val="auto"/>
              </w:rPr>
            </w:pPr>
          </w:p>
        </w:tc>
      </w:tr>
      <w:tr>
        <w:trPr>
          <w:trHeight w:val="99"/>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3"/>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Amount of Gain</w:t>
            </w:r>
          </w:p>
        </w:tc>
        <w:tc>
          <w:tcPr>
            <w:tcW w:w="120" w:type="dxa"/>
            <w:vAlign w:val="bottom"/>
          </w:tcPr>
          <w:p>
            <w:pPr>
              <w:spacing w:after="0"/>
              <w:rPr>
                <w:sz w:val="8"/>
                <w:szCs w:val="8"/>
                <w:color w:val="auto"/>
              </w:rPr>
            </w:pPr>
          </w:p>
        </w:tc>
        <w:tc>
          <w:tcPr>
            <w:tcW w:w="200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Location of Gain (Loss)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gridSpan w:val="6"/>
          </w:tcPr>
          <w:p>
            <w:pPr>
              <w:jc w:val="center"/>
              <w:ind w:right="140"/>
              <w:spacing w:after="0" w:line="99" w:lineRule="exact"/>
              <w:rPr>
                <w:sz w:val="20"/>
                <w:szCs w:val="20"/>
                <w:color w:val="auto"/>
              </w:rPr>
            </w:pPr>
            <w:r>
              <w:rPr>
                <w:rFonts w:ascii="Arial" w:cs="Arial" w:eastAsia="Arial" w:hAnsi="Arial"/>
                <w:sz w:val="10"/>
                <w:szCs w:val="10"/>
                <w:b w:val="1"/>
                <w:bCs w:val="1"/>
                <w:color w:val="auto"/>
                <w:w w:val="83"/>
              </w:rPr>
              <w:t>Reclassified from</w:t>
            </w:r>
          </w:p>
        </w:tc>
      </w:tr>
      <w:tr>
        <w:trPr>
          <w:trHeight w:val="113"/>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(Loss) Recognized in</w:t>
            </w:r>
          </w:p>
        </w:tc>
        <w:tc>
          <w:tcPr>
            <w:tcW w:w="120" w:type="dxa"/>
            <w:vAlign w:val="bottom"/>
          </w:tcPr>
          <w:p>
            <w:pPr>
              <w:spacing w:after="0"/>
              <w:rPr>
                <w:sz w:val="9"/>
                <w:szCs w:val="9"/>
                <w:color w:val="auto"/>
              </w:rPr>
            </w:pPr>
          </w:p>
        </w:tc>
        <w:tc>
          <w:tcPr>
            <w:tcW w:w="2000" w:type="dxa"/>
            <w:vAlign w:val="bottom"/>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86"/>
              </w:rPr>
              <w:t>Reclassified from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6"/>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AOCI into Income</w:t>
            </w:r>
          </w:p>
        </w:tc>
      </w:tr>
      <w:tr>
        <w:trPr>
          <w:trHeight w:val="88"/>
        </w:trPr>
        <w:tc>
          <w:tcPr>
            <w:tcW w:w="2880" w:type="dxa"/>
            <w:vAlign w:val="bottom"/>
            <w:gridSpan w:val="2"/>
          </w:tcPr>
          <w:p>
            <w:pPr>
              <w:ind w:left="980"/>
              <w:spacing w:after="0" w:line="88" w:lineRule="exact"/>
              <w:rPr>
                <w:sz w:val="20"/>
                <w:szCs w:val="20"/>
                <w:color w:val="auto"/>
              </w:rPr>
            </w:pPr>
            <w:r>
              <w:rPr>
                <w:rFonts w:ascii="Arial" w:cs="Arial" w:eastAsia="Arial" w:hAnsi="Arial"/>
                <w:sz w:val="10"/>
                <w:szCs w:val="10"/>
                <w:b w:val="1"/>
                <w:bCs w:val="1"/>
                <w:color w:val="auto"/>
              </w:rPr>
              <w:t>Derivative Instrument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3"/>
          </w:tcPr>
          <w:p>
            <w:pPr>
              <w:jc w:val="center"/>
              <w:ind w:right="280"/>
              <w:spacing w:after="0" w:line="88" w:lineRule="exact"/>
              <w:rPr>
                <w:sz w:val="20"/>
                <w:szCs w:val="20"/>
                <w:color w:val="auto"/>
              </w:rPr>
            </w:pPr>
            <w:r>
              <w:rPr>
                <w:rFonts w:ascii="Arial" w:cs="Arial" w:eastAsia="Arial" w:hAnsi="Arial"/>
                <w:sz w:val="10"/>
                <w:szCs w:val="10"/>
                <w:b w:val="1"/>
                <w:bCs w:val="1"/>
                <w:color w:val="auto"/>
              </w:rPr>
              <w:t>AOCI</w:t>
            </w:r>
          </w:p>
        </w:tc>
        <w:tc>
          <w:tcPr>
            <w:tcW w:w="120" w:type="dxa"/>
            <w:vAlign w:val="bottom"/>
          </w:tcPr>
          <w:p>
            <w:pPr>
              <w:spacing w:after="0"/>
              <w:rPr>
                <w:sz w:val="7"/>
                <w:szCs w:val="7"/>
                <w:color w:val="auto"/>
              </w:rPr>
            </w:pPr>
          </w:p>
        </w:tc>
        <w:tc>
          <w:tcPr>
            <w:tcW w:w="2000" w:type="dxa"/>
            <w:vAlign w:val="bottom"/>
            <w:gridSpan w:val="3"/>
          </w:tcPr>
          <w:p>
            <w:pPr>
              <w:jc w:val="center"/>
              <w:ind w:right="260"/>
              <w:spacing w:after="0" w:line="88" w:lineRule="exact"/>
              <w:rPr>
                <w:sz w:val="20"/>
                <w:szCs w:val="20"/>
                <w:color w:val="auto"/>
              </w:rPr>
            </w:pPr>
            <w:r>
              <w:rPr>
                <w:rFonts w:ascii="Arial" w:cs="Arial" w:eastAsia="Arial" w:hAnsi="Arial"/>
                <w:sz w:val="10"/>
                <w:szCs w:val="10"/>
                <w:b w:val="1"/>
                <w:bCs w:val="1"/>
                <w:color w:val="auto"/>
                <w:w w:val="92"/>
              </w:rPr>
              <w:t>AOCI into Income</w:t>
            </w: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32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Ineffective portion</w:t>
            </w:r>
          </w:p>
        </w:tc>
        <w:tc>
          <w:tcPr>
            <w:tcW w:w="20" w:type="dxa"/>
            <w:vAlign w:val="bottom"/>
          </w:tcPr>
          <w:p>
            <w:pPr>
              <w:spacing w:after="0"/>
              <w:rPr>
                <w:sz w:val="7"/>
                <w:szCs w:val="7"/>
                <w:color w:val="auto"/>
              </w:rPr>
            </w:pPr>
          </w:p>
        </w:tc>
      </w:tr>
      <w:tr>
        <w:trPr>
          <w:trHeight w:val="124"/>
        </w:trPr>
        <w:tc>
          <w:tcPr>
            <w:tcW w:w="2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9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w w:val="91"/>
              </w:rPr>
              <w:t>Cost of product sold- propane and other</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1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gas liquids sales</w:t>
            </w:r>
          </w:p>
        </w:tc>
        <w:tc>
          <w:tcPr>
            <w:tcW w:w="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22,383</w:t>
            </w: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0"/>
        </w:trPr>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20,446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22,383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252"/>
        </w:trPr>
        <w:tc>
          <w:tcPr>
            <w:tcW w:w="2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ind w:left="520"/>
              <w:spacing w:after="0"/>
              <w:rPr>
                <w:sz w:val="20"/>
                <w:szCs w:val="20"/>
                <w:color w:val="auto"/>
              </w:rPr>
            </w:pPr>
            <w:r>
              <w:rPr>
                <w:rFonts w:ascii="Arial" w:cs="Arial" w:eastAsia="Arial" w:hAnsi="Arial"/>
                <w:sz w:val="10"/>
                <w:szCs w:val="10"/>
                <w:b w:val="1"/>
                <w:bCs w:val="1"/>
                <w:color w:val="auto"/>
              </w:rPr>
              <w:t>For the three months ended April 30, 2020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74"/>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5"/>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20" w:type="dxa"/>
            <w:vAlign w:val="bottom"/>
          </w:tcPr>
          <w:p>
            <w:pPr>
              <w:spacing w:after="0"/>
              <w:rPr>
                <w:sz w:val="6"/>
                <w:szCs w:val="6"/>
                <w:color w:val="auto"/>
              </w:rPr>
            </w:pPr>
          </w:p>
        </w:tc>
      </w:tr>
      <w:tr>
        <w:trPr>
          <w:trHeight w:val="99"/>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Amount of Gain (Loss)</w:t>
            </w:r>
          </w:p>
        </w:tc>
        <w:tc>
          <w:tcPr>
            <w:tcW w:w="120" w:type="dxa"/>
            <w:vAlign w:val="bottom"/>
          </w:tcPr>
          <w:p>
            <w:pPr>
              <w:spacing w:after="0"/>
              <w:rPr>
                <w:sz w:val="8"/>
                <w:szCs w:val="8"/>
                <w:color w:val="auto"/>
              </w:rPr>
            </w:pPr>
          </w:p>
        </w:tc>
        <w:tc>
          <w:tcPr>
            <w:tcW w:w="20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Location of Gain (Loss)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gridSpan w:val="6"/>
          </w:tcPr>
          <w:p>
            <w:pPr>
              <w:jc w:val="center"/>
              <w:ind w:right="140"/>
              <w:spacing w:after="0" w:line="99" w:lineRule="exact"/>
              <w:rPr>
                <w:sz w:val="20"/>
                <w:szCs w:val="20"/>
                <w:color w:val="auto"/>
              </w:rPr>
            </w:pPr>
            <w:r>
              <w:rPr>
                <w:rFonts w:ascii="Arial" w:cs="Arial" w:eastAsia="Arial" w:hAnsi="Arial"/>
                <w:sz w:val="10"/>
                <w:szCs w:val="10"/>
                <w:b w:val="1"/>
                <w:bCs w:val="1"/>
                <w:color w:val="auto"/>
                <w:w w:val="83"/>
              </w:rPr>
              <w:t>Reclassified from</w:t>
            </w:r>
          </w:p>
        </w:tc>
      </w:tr>
      <w:tr>
        <w:trPr>
          <w:trHeight w:val="113"/>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Recognized in</w:t>
            </w:r>
          </w:p>
        </w:tc>
        <w:tc>
          <w:tcPr>
            <w:tcW w:w="120" w:type="dxa"/>
            <w:vAlign w:val="bottom"/>
          </w:tcPr>
          <w:p>
            <w:pPr>
              <w:spacing w:after="0"/>
              <w:rPr>
                <w:sz w:val="9"/>
                <w:szCs w:val="9"/>
                <w:color w:val="auto"/>
              </w:rPr>
            </w:pPr>
          </w:p>
        </w:tc>
        <w:tc>
          <w:tcPr>
            <w:tcW w:w="20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3"/>
              </w:rPr>
              <w:t>Reclassified from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6"/>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AOCI into Income</w:t>
            </w:r>
          </w:p>
        </w:tc>
      </w:tr>
      <w:tr>
        <w:trPr>
          <w:trHeight w:val="88"/>
        </w:trPr>
        <w:tc>
          <w:tcPr>
            <w:tcW w:w="2880" w:type="dxa"/>
            <w:vAlign w:val="bottom"/>
            <w:gridSpan w:val="2"/>
          </w:tcPr>
          <w:p>
            <w:pPr>
              <w:ind w:left="960"/>
              <w:spacing w:after="0" w:line="88" w:lineRule="exact"/>
              <w:rPr>
                <w:sz w:val="20"/>
                <w:szCs w:val="20"/>
                <w:color w:val="auto"/>
              </w:rPr>
            </w:pPr>
            <w:r>
              <w:rPr>
                <w:rFonts w:ascii="Arial" w:cs="Arial" w:eastAsia="Arial" w:hAnsi="Arial"/>
                <w:sz w:val="10"/>
                <w:szCs w:val="10"/>
                <w:b w:val="1"/>
                <w:bCs w:val="1"/>
                <w:color w:val="auto"/>
              </w:rPr>
              <w:t>Derivative Instrument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3"/>
          </w:tcPr>
          <w:p>
            <w:pPr>
              <w:jc w:val="center"/>
              <w:ind w:right="200"/>
              <w:spacing w:after="0" w:line="88" w:lineRule="exact"/>
              <w:rPr>
                <w:sz w:val="20"/>
                <w:szCs w:val="20"/>
                <w:color w:val="auto"/>
              </w:rPr>
            </w:pPr>
            <w:r>
              <w:rPr>
                <w:rFonts w:ascii="Arial" w:cs="Arial" w:eastAsia="Arial" w:hAnsi="Arial"/>
                <w:sz w:val="10"/>
                <w:szCs w:val="10"/>
                <w:b w:val="1"/>
                <w:bCs w:val="1"/>
                <w:color w:val="auto"/>
              </w:rPr>
              <w:t>AOCI</w:t>
            </w:r>
          </w:p>
        </w:tc>
        <w:tc>
          <w:tcPr>
            <w:tcW w:w="120" w:type="dxa"/>
            <w:vAlign w:val="bottom"/>
          </w:tcPr>
          <w:p>
            <w:pPr>
              <w:spacing w:after="0"/>
              <w:rPr>
                <w:sz w:val="7"/>
                <w:szCs w:val="7"/>
                <w:color w:val="auto"/>
              </w:rPr>
            </w:pPr>
          </w:p>
        </w:tc>
        <w:tc>
          <w:tcPr>
            <w:tcW w:w="200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w w:val="90"/>
              </w:rPr>
              <w:t>AOCI into Income</w:t>
            </w: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32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Ineffective portion</w:t>
            </w:r>
          </w:p>
        </w:tc>
        <w:tc>
          <w:tcPr>
            <w:tcW w:w="20" w:type="dxa"/>
            <w:vAlign w:val="bottom"/>
          </w:tcPr>
          <w:p>
            <w:pPr>
              <w:spacing w:after="0"/>
              <w:rPr>
                <w:sz w:val="7"/>
                <w:szCs w:val="7"/>
                <w:color w:val="auto"/>
              </w:rPr>
            </w:pPr>
          </w:p>
        </w:tc>
      </w:tr>
      <w:tr>
        <w:trPr>
          <w:trHeight w:val="124"/>
        </w:trPr>
        <w:tc>
          <w:tcPr>
            <w:tcW w:w="28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Commodity derivatives</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Cost of product sold- propane and</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(11,501)</w:t>
            </w:r>
          </w:p>
        </w:tc>
        <w:tc>
          <w:tcPr>
            <w:tcW w:w="120" w:type="dxa"/>
            <w:vAlign w:val="bottom"/>
            <w:shd w:val="clear" w:color="auto" w:fill="CCEEFF"/>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gas liquids sales</w:t>
            </w:r>
          </w:p>
        </w:tc>
        <w:tc>
          <w:tcPr>
            <w:tcW w:w="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(14,073)</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0"/>
        </w:trPr>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(11,501)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(14,073)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252"/>
        </w:trPr>
        <w:tc>
          <w:tcPr>
            <w:tcW w:w="2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ind w:left="540"/>
              <w:spacing w:after="0"/>
              <w:rPr>
                <w:sz w:val="20"/>
                <w:szCs w:val="20"/>
                <w:color w:val="auto"/>
              </w:rPr>
            </w:pPr>
            <w:r>
              <w:rPr>
                <w:rFonts w:ascii="Arial" w:cs="Arial" w:eastAsia="Arial" w:hAnsi="Arial"/>
                <w:sz w:val="10"/>
                <w:szCs w:val="10"/>
                <w:b w:val="1"/>
                <w:bCs w:val="1"/>
                <w:color w:val="auto"/>
              </w:rPr>
              <w:t>For the nine months ended April 30, 2021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74"/>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5"/>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20" w:type="dxa"/>
            <w:vAlign w:val="bottom"/>
          </w:tcPr>
          <w:p>
            <w:pPr>
              <w:spacing w:after="0"/>
              <w:rPr>
                <w:sz w:val="6"/>
                <w:szCs w:val="6"/>
                <w:color w:val="auto"/>
              </w:rPr>
            </w:pPr>
          </w:p>
        </w:tc>
      </w:tr>
      <w:tr>
        <w:trPr>
          <w:trHeight w:val="99"/>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Amount of Gain (Loss)</w:t>
            </w:r>
          </w:p>
        </w:tc>
        <w:tc>
          <w:tcPr>
            <w:tcW w:w="120" w:type="dxa"/>
            <w:vAlign w:val="bottom"/>
          </w:tcPr>
          <w:p>
            <w:pPr>
              <w:spacing w:after="0"/>
              <w:rPr>
                <w:sz w:val="8"/>
                <w:szCs w:val="8"/>
                <w:color w:val="auto"/>
              </w:rPr>
            </w:pPr>
          </w:p>
        </w:tc>
        <w:tc>
          <w:tcPr>
            <w:tcW w:w="20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Location of Gain (Loss)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gridSpan w:val="6"/>
          </w:tcPr>
          <w:p>
            <w:pPr>
              <w:jc w:val="center"/>
              <w:ind w:right="140"/>
              <w:spacing w:after="0" w:line="99" w:lineRule="exact"/>
              <w:rPr>
                <w:sz w:val="20"/>
                <w:szCs w:val="20"/>
                <w:color w:val="auto"/>
              </w:rPr>
            </w:pPr>
            <w:r>
              <w:rPr>
                <w:rFonts w:ascii="Arial" w:cs="Arial" w:eastAsia="Arial" w:hAnsi="Arial"/>
                <w:sz w:val="10"/>
                <w:szCs w:val="10"/>
                <w:b w:val="1"/>
                <w:bCs w:val="1"/>
                <w:color w:val="auto"/>
                <w:w w:val="83"/>
              </w:rPr>
              <w:t>Reclassified from</w:t>
            </w:r>
          </w:p>
        </w:tc>
      </w:tr>
      <w:tr>
        <w:trPr>
          <w:trHeight w:val="113"/>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Recognized in</w:t>
            </w:r>
          </w:p>
        </w:tc>
        <w:tc>
          <w:tcPr>
            <w:tcW w:w="120" w:type="dxa"/>
            <w:vAlign w:val="bottom"/>
          </w:tcPr>
          <w:p>
            <w:pPr>
              <w:spacing w:after="0"/>
              <w:rPr>
                <w:sz w:val="9"/>
                <w:szCs w:val="9"/>
                <w:color w:val="auto"/>
              </w:rPr>
            </w:pPr>
          </w:p>
        </w:tc>
        <w:tc>
          <w:tcPr>
            <w:tcW w:w="20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Reclassified from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6"/>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AOCI into Income</w:t>
            </w:r>
          </w:p>
        </w:tc>
      </w:tr>
      <w:tr>
        <w:trPr>
          <w:trHeight w:val="88"/>
        </w:trPr>
        <w:tc>
          <w:tcPr>
            <w:tcW w:w="2880" w:type="dxa"/>
            <w:vAlign w:val="bottom"/>
            <w:gridSpan w:val="2"/>
          </w:tcPr>
          <w:p>
            <w:pPr>
              <w:ind w:left="960"/>
              <w:spacing w:after="0" w:line="88" w:lineRule="exact"/>
              <w:rPr>
                <w:sz w:val="20"/>
                <w:szCs w:val="20"/>
                <w:color w:val="auto"/>
              </w:rPr>
            </w:pPr>
            <w:r>
              <w:rPr>
                <w:rFonts w:ascii="Arial" w:cs="Arial" w:eastAsia="Arial" w:hAnsi="Arial"/>
                <w:sz w:val="10"/>
                <w:szCs w:val="10"/>
                <w:b w:val="1"/>
                <w:bCs w:val="1"/>
                <w:color w:val="auto"/>
              </w:rPr>
              <w:t>Derivative Instrument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3"/>
          </w:tcPr>
          <w:p>
            <w:pPr>
              <w:jc w:val="center"/>
              <w:ind w:right="200"/>
              <w:spacing w:after="0" w:line="88" w:lineRule="exact"/>
              <w:rPr>
                <w:sz w:val="20"/>
                <w:szCs w:val="20"/>
                <w:color w:val="auto"/>
              </w:rPr>
            </w:pPr>
            <w:r>
              <w:rPr>
                <w:rFonts w:ascii="Arial" w:cs="Arial" w:eastAsia="Arial" w:hAnsi="Arial"/>
                <w:sz w:val="10"/>
                <w:szCs w:val="10"/>
                <w:b w:val="1"/>
                <w:bCs w:val="1"/>
                <w:color w:val="auto"/>
              </w:rPr>
              <w:t>AOCI</w:t>
            </w:r>
          </w:p>
        </w:tc>
        <w:tc>
          <w:tcPr>
            <w:tcW w:w="120" w:type="dxa"/>
            <w:vAlign w:val="bottom"/>
          </w:tcPr>
          <w:p>
            <w:pPr>
              <w:spacing w:after="0"/>
              <w:rPr>
                <w:sz w:val="7"/>
                <w:szCs w:val="7"/>
                <w:color w:val="auto"/>
              </w:rPr>
            </w:pPr>
          </w:p>
        </w:tc>
        <w:tc>
          <w:tcPr>
            <w:tcW w:w="200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w w:val="90"/>
              </w:rPr>
              <w:t>AOCI into Income</w:t>
            </w: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32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Ineffective portion</w:t>
            </w:r>
          </w:p>
        </w:tc>
        <w:tc>
          <w:tcPr>
            <w:tcW w:w="20" w:type="dxa"/>
            <w:vAlign w:val="bottom"/>
          </w:tcPr>
          <w:p>
            <w:pPr>
              <w:spacing w:after="0"/>
              <w:rPr>
                <w:sz w:val="7"/>
                <w:szCs w:val="7"/>
                <w:color w:val="auto"/>
              </w:rPr>
            </w:pPr>
          </w:p>
        </w:tc>
      </w:tr>
      <w:tr>
        <w:trPr>
          <w:trHeight w:val="124"/>
        </w:trPr>
        <w:tc>
          <w:tcPr>
            <w:tcW w:w="2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w w:val="94"/>
              </w:rPr>
              <w:t>Cost of sales-propane and other gas</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2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63,170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liquids sales</w:t>
            </w:r>
          </w:p>
        </w:tc>
        <w:tc>
          <w:tcPr>
            <w:tcW w:w="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28,674</w:t>
            </w: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0"/>
        </w:trPr>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63,170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28,674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468"/>
        </w:trPr>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2"/>
                <w:szCs w:val="12"/>
                <w:color w:val="auto"/>
              </w:rPr>
              <w:t>28</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2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28" w:name="page29"/>
    <w:bookmarkEnd w:id="2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8"/>
          </w:tcPr>
          <w:p>
            <w:pPr>
              <w:ind w:left="540"/>
              <w:spacing w:after="0"/>
              <w:rPr>
                <w:sz w:val="20"/>
                <w:szCs w:val="20"/>
                <w:color w:val="auto"/>
              </w:rPr>
            </w:pPr>
            <w:r>
              <w:rPr>
                <w:rFonts w:ascii="Arial" w:cs="Arial" w:eastAsia="Arial" w:hAnsi="Arial"/>
                <w:sz w:val="10"/>
                <w:szCs w:val="10"/>
                <w:b w:val="1"/>
                <w:bCs w:val="1"/>
                <w:color w:val="auto"/>
              </w:rPr>
              <w:t>For the nine months ended April 30, 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gridSpan w:val="6"/>
          </w:tcPr>
          <w:p>
            <w:pPr>
              <w:jc w:val="center"/>
              <w:ind w:right="103"/>
              <w:spacing w:after="0" w:line="74" w:lineRule="exact"/>
              <w:rPr>
                <w:sz w:val="20"/>
                <w:szCs w:val="20"/>
                <w:color w:val="auto"/>
              </w:rPr>
            </w:pPr>
            <w:r>
              <w:rPr>
                <w:rFonts w:ascii="Arial" w:cs="Arial" w:eastAsia="Arial" w:hAnsi="Arial"/>
                <w:sz w:val="8"/>
                <w:szCs w:val="8"/>
                <w:b w:val="1"/>
                <w:bCs w:val="1"/>
                <w:color w:val="auto"/>
              </w:rPr>
              <w:t>Amount of Gain (Loss)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Amount of Gain (Loss)</w:t>
            </w:r>
          </w:p>
        </w:tc>
        <w:tc>
          <w:tcPr>
            <w:tcW w:w="20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Location of Gain (Loss)</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gridSpan w:val="7"/>
          </w:tcPr>
          <w:p>
            <w:pPr>
              <w:jc w:val="center"/>
              <w:ind w:right="200"/>
              <w:spacing w:after="0" w:line="99" w:lineRule="exact"/>
              <w:rPr>
                <w:sz w:val="20"/>
                <w:szCs w:val="20"/>
                <w:color w:val="auto"/>
              </w:rPr>
            </w:pPr>
            <w:r>
              <w:rPr>
                <w:rFonts w:ascii="Arial" w:cs="Arial" w:eastAsia="Arial" w:hAnsi="Arial"/>
                <w:sz w:val="10"/>
                <w:szCs w:val="10"/>
                <w:b w:val="1"/>
                <w:bCs w:val="1"/>
                <w:color w:val="auto"/>
                <w:w w:val="83"/>
              </w:rPr>
              <w:t>Reclassified from</w:t>
            </w:r>
          </w:p>
        </w:tc>
        <w:tc>
          <w:tcPr>
            <w:tcW w:w="0" w:type="dxa"/>
            <w:vAlign w:val="bottom"/>
          </w:tcPr>
          <w:p>
            <w:pPr>
              <w:spacing w:after="0"/>
              <w:rPr>
                <w:sz w:val="1"/>
                <w:szCs w:val="1"/>
                <w:color w:val="auto"/>
              </w:rPr>
            </w:pPr>
          </w:p>
        </w:tc>
      </w:tr>
      <w:tr>
        <w:trPr>
          <w:trHeight w:val="113"/>
        </w:trPr>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Recognized in</w:t>
            </w:r>
          </w:p>
        </w:tc>
        <w:tc>
          <w:tcPr>
            <w:tcW w:w="20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3"/>
              </w:rPr>
              <w:t>Reclassified from</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AOCI into Income</w:t>
            </w:r>
          </w:p>
        </w:tc>
        <w:tc>
          <w:tcPr>
            <w:tcW w:w="0" w:type="dxa"/>
            <w:vAlign w:val="bottom"/>
          </w:tcPr>
          <w:p>
            <w:pPr>
              <w:spacing w:after="0"/>
              <w:rPr>
                <w:sz w:val="1"/>
                <w:szCs w:val="1"/>
                <w:color w:val="auto"/>
              </w:rPr>
            </w:pPr>
          </w:p>
        </w:tc>
      </w:tr>
      <w:tr>
        <w:trPr>
          <w:trHeight w:val="88"/>
        </w:trPr>
        <w:tc>
          <w:tcPr>
            <w:tcW w:w="2980" w:type="dxa"/>
            <w:vAlign w:val="bottom"/>
            <w:gridSpan w:val="2"/>
          </w:tcPr>
          <w:p>
            <w:pPr>
              <w:ind w:left="960"/>
              <w:spacing w:after="0" w:line="88" w:lineRule="exact"/>
              <w:rPr>
                <w:sz w:val="20"/>
                <w:szCs w:val="20"/>
                <w:color w:val="auto"/>
              </w:rPr>
            </w:pPr>
            <w:r>
              <w:rPr>
                <w:rFonts w:ascii="Arial" w:cs="Arial" w:eastAsia="Arial" w:hAnsi="Arial"/>
                <w:sz w:val="10"/>
                <w:szCs w:val="10"/>
                <w:b w:val="1"/>
                <w:bCs w:val="1"/>
                <w:color w:val="auto"/>
              </w:rPr>
              <w:t>Derivative Instrument</w:t>
            </w:r>
          </w:p>
        </w:tc>
        <w:tc>
          <w:tcPr>
            <w:tcW w:w="160" w:type="dxa"/>
            <w:vAlign w:val="bottom"/>
          </w:tcPr>
          <w:p>
            <w:pPr>
              <w:spacing w:after="0"/>
              <w:rPr>
                <w:sz w:val="7"/>
                <w:szCs w:val="7"/>
                <w:color w:val="auto"/>
              </w:rPr>
            </w:pPr>
          </w:p>
        </w:tc>
        <w:tc>
          <w:tcPr>
            <w:tcW w:w="1440" w:type="dxa"/>
            <w:vAlign w:val="bottom"/>
            <w:gridSpan w:val="2"/>
          </w:tcPr>
          <w:p>
            <w:pPr>
              <w:jc w:val="center"/>
              <w:ind w:right="300"/>
              <w:spacing w:after="0" w:line="88" w:lineRule="exact"/>
              <w:rPr>
                <w:sz w:val="20"/>
                <w:szCs w:val="20"/>
                <w:color w:val="auto"/>
              </w:rPr>
            </w:pPr>
            <w:r>
              <w:rPr>
                <w:rFonts w:ascii="Arial" w:cs="Arial" w:eastAsia="Arial" w:hAnsi="Arial"/>
                <w:sz w:val="10"/>
                <w:szCs w:val="10"/>
                <w:b w:val="1"/>
                <w:bCs w:val="1"/>
                <w:color w:val="auto"/>
              </w:rPr>
              <w:t>AOCI</w:t>
            </w:r>
          </w:p>
        </w:tc>
        <w:tc>
          <w:tcPr>
            <w:tcW w:w="200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w w:val="90"/>
              </w:rPr>
              <w:t>AOCI into Income</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3"/>
          </w:tcPr>
          <w:p>
            <w:pPr>
              <w:jc w:val="right"/>
              <w:ind w:right="320"/>
              <w:spacing w:after="0" w:line="88" w:lineRule="exact"/>
              <w:rPr>
                <w:sz w:val="20"/>
                <w:szCs w:val="20"/>
                <w:color w:val="auto"/>
              </w:rPr>
            </w:pPr>
            <w:r>
              <w:rPr>
                <w:rFonts w:ascii="Arial" w:cs="Arial" w:eastAsia="Arial" w:hAnsi="Arial"/>
                <w:sz w:val="10"/>
                <w:szCs w:val="10"/>
                <w:b w:val="1"/>
                <w:bCs w:val="1"/>
                <w:color w:val="auto"/>
                <w:w w:val="88"/>
              </w:rPr>
              <w:t>Effective portion</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right"/>
              <w:ind w:right="143"/>
              <w:spacing w:after="0" w:line="88" w:lineRule="exact"/>
              <w:rPr>
                <w:sz w:val="20"/>
                <w:szCs w:val="20"/>
                <w:color w:val="auto"/>
              </w:rPr>
            </w:pPr>
            <w:r>
              <w:rPr>
                <w:rFonts w:ascii="Arial" w:cs="Arial" w:eastAsia="Arial" w:hAnsi="Arial"/>
                <w:sz w:val="10"/>
                <w:szCs w:val="10"/>
                <w:b w:val="1"/>
                <w:bCs w:val="1"/>
                <w:color w:val="auto"/>
                <w:w w:val="87"/>
              </w:rPr>
              <w:t>Ineffective portion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6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w w:val="94"/>
              </w:rPr>
              <w:t>Cost of sales-propane and other gas</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(36,340)</w:t>
            </w: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liquids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(30,318)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2"/>
                <w:szCs w:val="12"/>
                <w:color w:val="auto"/>
                <w:w w:val="84"/>
              </w:rPr>
              <w:t>(36,340)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(30,318)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580" w:type="dxa"/>
            <w:vAlign w:val="bottom"/>
            <w:gridSpan w:val="8"/>
          </w:tcPr>
          <w:p>
            <w:pPr>
              <w:spacing w:after="0"/>
              <w:rPr>
                <w:sz w:val="20"/>
                <w:szCs w:val="20"/>
                <w:color w:val="auto"/>
              </w:rPr>
            </w:pPr>
            <w:r>
              <w:rPr>
                <w:rFonts w:ascii="Arial" w:cs="Arial" w:eastAsia="Arial" w:hAnsi="Arial"/>
                <w:sz w:val="12"/>
                <w:szCs w:val="12"/>
                <w:color w:val="auto"/>
              </w:rPr>
              <w:t>The changes in derivatives included in AOCI for the nine months ended April 30, 2021 and 2020 were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Gains and losses on derivatives included in AOCI</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7"/>
          </w:tcPr>
          <w:p>
            <w:pPr>
              <w:jc w:val="right"/>
              <w:ind w:right="460"/>
              <w:spacing w:after="0"/>
              <w:rPr>
                <w:sz w:val="20"/>
                <w:szCs w:val="20"/>
                <w:color w:val="auto"/>
              </w:rPr>
            </w:pPr>
            <w:r>
              <w:rPr>
                <w:rFonts w:ascii="Arial" w:cs="Arial" w:eastAsia="Arial" w:hAnsi="Arial"/>
                <w:sz w:val="10"/>
                <w:szCs w:val="10"/>
                <w:b w:val="1"/>
                <w:bCs w:val="1"/>
                <w:color w:val="auto"/>
              </w:rPr>
              <w:t>For the nine months ended April 30,</w:t>
            </w:r>
          </w:p>
        </w:tc>
        <w:tc>
          <w:tcPr>
            <w:tcW w:w="0" w:type="dxa"/>
            <w:vAlign w:val="bottom"/>
          </w:tcPr>
          <w:p>
            <w:pPr>
              <w:spacing w:after="0"/>
              <w:rPr>
                <w:sz w:val="1"/>
                <w:szCs w:val="1"/>
                <w:color w:val="auto"/>
              </w:rPr>
            </w:pPr>
          </w:p>
        </w:tc>
      </w:tr>
      <w:tr>
        <w:trPr>
          <w:trHeight w:val="88"/>
        </w:trPr>
        <w:tc>
          <w:tcPr>
            <w:tcW w:w="29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30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tcPr>
          <w:p>
            <w:pPr>
              <w:jc w:val="right"/>
              <w:ind w:right="363"/>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Beginning balance</w:t>
            </w: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(2,313)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(14,756)</w:t>
            </w:r>
          </w:p>
        </w:tc>
        <w:tc>
          <w:tcPr>
            <w:tcW w:w="4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80"/>
              <w:spacing w:after="0"/>
              <w:rPr>
                <w:sz w:val="20"/>
                <w:szCs w:val="20"/>
                <w:color w:val="auto"/>
              </w:rPr>
            </w:pPr>
            <w:r>
              <w:rPr>
                <w:rFonts w:ascii="Arial" w:cs="Arial" w:eastAsia="Arial" w:hAnsi="Arial"/>
                <w:sz w:val="12"/>
                <w:szCs w:val="12"/>
                <w:color w:val="auto"/>
                <w:w w:val="90"/>
              </w:rPr>
              <w:t>Change in value of risk management commodity derivatives</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63,170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gridSpan w:val="8"/>
            <w:shd w:val="clear" w:color="auto" w:fill="CCEEFF"/>
          </w:tcPr>
          <w:p>
            <w:pPr>
              <w:ind w:left="80"/>
              <w:spacing w:after="0"/>
              <w:rPr>
                <w:sz w:val="20"/>
                <w:szCs w:val="20"/>
                <w:color w:val="auto"/>
              </w:rPr>
            </w:pPr>
            <w:r>
              <w:rPr>
                <w:rFonts w:ascii="Arial" w:cs="Arial" w:eastAsia="Arial" w:hAnsi="Arial"/>
                <w:sz w:val="12"/>
                <w:szCs w:val="12"/>
                <w:color w:val="auto"/>
              </w:rPr>
              <w:t>Reclassification of (gains) losses on commodity hedges to cost of sales - propane and other gas liquids sales, net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(28,674)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30,318</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gridSpan w:val="2"/>
          </w:tcPr>
          <w:p>
            <w:pPr>
              <w:spacing w:after="0" w:line="133" w:lineRule="exact"/>
              <w:rPr>
                <w:sz w:val="20"/>
                <w:szCs w:val="20"/>
                <w:color w:val="auto"/>
              </w:rPr>
            </w:pPr>
            <w:r>
              <w:rPr>
                <w:rFonts w:ascii="Arial" w:cs="Arial" w:eastAsia="Arial" w:hAnsi="Arial"/>
                <w:sz w:val="12"/>
                <w:szCs w:val="12"/>
                <w:color w:val="auto"/>
              </w:rPr>
              <w:t>Ending balance</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32,183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(20,778)</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Ferrellgas expects to reclassify net gains of approximately $28.8 million to earnings during the next 12 months. These net gains are expected to be offset by decreased margins on propane sales commitments Ferrellgas has with its customers that qualify for the normal purchase normal sale exception.</w:t>
      </w:r>
    </w:p>
    <w:p>
      <w:pPr>
        <w:spacing w:after="0" w:line="115" w:lineRule="exact"/>
        <w:rPr>
          <w:sz w:val="20"/>
          <w:szCs w:val="20"/>
          <w:color w:val="auto"/>
        </w:rPr>
      </w:pPr>
    </w:p>
    <w:p>
      <w:pPr>
        <w:ind w:left="20" w:right="359"/>
        <w:spacing w:after="0" w:line="276" w:lineRule="auto"/>
        <w:rPr>
          <w:sz w:val="20"/>
          <w:szCs w:val="20"/>
          <w:color w:val="auto"/>
        </w:rPr>
      </w:pPr>
      <w:r>
        <w:rPr>
          <w:rFonts w:ascii="Arial" w:cs="Arial" w:eastAsia="Arial" w:hAnsi="Arial"/>
          <w:sz w:val="12"/>
          <w:szCs w:val="12"/>
          <w:color w:val="auto"/>
        </w:rPr>
        <w:t>During the nine months ended April 30, 2021 and 2020, Ferrellgas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pacing w:after="0" w:line="115"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As of April 30, 2021, Ferrellgas had financial derivative contracts covering 5.3 million barrels of propane that were entered into as cash flow hedges of forward and forecasted purchases of propane.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financial instruments credit risk</w:t>
      </w:r>
    </w:p>
    <w:p>
      <w:pPr>
        <w:spacing w:after="0" w:line="150" w:lineRule="exact"/>
        <w:rPr>
          <w:sz w:val="20"/>
          <w:szCs w:val="20"/>
          <w:color w:val="auto"/>
        </w:rPr>
      </w:pPr>
    </w:p>
    <w:p>
      <w:pPr>
        <w:ind w:left="20" w:right="59"/>
        <w:spacing w:after="0" w:line="254" w:lineRule="auto"/>
        <w:rPr>
          <w:sz w:val="20"/>
          <w:szCs w:val="20"/>
          <w:color w:val="auto"/>
        </w:rPr>
      </w:pPr>
      <w:r>
        <w:rPr>
          <w:rFonts w:ascii="Arial" w:cs="Arial" w:eastAsia="Arial" w:hAnsi="Arial"/>
          <w:sz w:val="12"/>
          <w:szCs w:val="12"/>
          <w:color w:val="auto"/>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parental guarantees or cash. Ferrellgas has concentrations of credit risk associated with derivative financial instruments held by certain derivative financial instrument counterparties. If these counterparties that make up the concentration failed to perform according to the terms of their contracts at April 30, 2021, the maximum amount of loss due to credit risk that Ferrellgas would incur based upon the gross fair values of the derivative financial instruments is zero.</w:t>
      </w:r>
    </w:p>
    <w:p>
      <w:pPr>
        <w:spacing w:after="0" w:line="130"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From time to time Ferrellgas enters into derivative contracts that have credit-risk-related contingent features which dictate credit limits based upon Ferrellgas’ debt rating. There were no open derivative contracts with credit-risk-related contingent features as of April 30, 2021.</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9" w:name="page30"/>
    <w:bookmarkEnd w:id="2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Transactions with related parties</w:t>
      </w:r>
    </w:p>
    <w:p>
      <w:pPr>
        <w:spacing w:after="0" w:line="154"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Ferrellgas has no employees and is managed and controlled by its general partner. Pursuant to Ferrellgas’ partnership agreements, the general partner is entitled to reimbursement for all direct and indirect expenses incurred or 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condensed consolidated statements of operations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tcPr>
          <w:p>
            <w:pPr>
              <w:ind w:left="40"/>
              <w:spacing w:after="0"/>
              <w:rPr>
                <w:sz w:val="20"/>
                <w:szCs w:val="20"/>
                <w:color w:val="auto"/>
              </w:rPr>
            </w:pPr>
            <w:r>
              <w:rPr>
                <w:rFonts w:ascii="Arial" w:cs="Arial" w:eastAsia="Arial" w:hAnsi="Arial"/>
                <w:sz w:val="10"/>
                <w:szCs w:val="10"/>
                <w:b w:val="1"/>
                <w:bCs w:val="1"/>
                <w:color w:val="auto"/>
              </w:rPr>
              <w:t>For the three months ended April 30,</w:t>
            </w:r>
          </w:p>
        </w:tc>
        <w:tc>
          <w:tcPr>
            <w:tcW w:w="180" w:type="dxa"/>
            <w:vAlign w:val="bottom"/>
          </w:tcPr>
          <w:p>
            <w:pPr>
              <w:spacing w:after="0"/>
              <w:rPr>
                <w:sz w:val="10"/>
                <w:szCs w:val="10"/>
                <w:color w:val="auto"/>
              </w:rPr>
            </w:pPr>
          </w:p>
        </w:tc>
        <w:tc>
          <w:tcPr>
            <w:tcW w:w="2140" w:type="dxa"/>
            <w:vAlign w:val="bottom"/>
            <w:gridSpan w:val="5"/>
          </w:tcPr>
          <w:p>
            <w:pPr>
              <w:ind w:left="20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46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06"/>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4"/>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6"/>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020" w:type="dxa"/>
            <w:vAlign w:val="bottom"/>
            <w:tcBorders>
              <w:top w:val="single" w:sz="8" w:color="auto"/>
              <w:bottom w:val="single" w:sz="8" w:color="auto"/>
            </w:tcBorders>
          </w:tcPr>
          <w:p>
            <w:pPr>
              <w:jc w:val="right"/>
              <w:ind w:right="50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46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64,242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
              <w:spacing w:after="0" w:line="133" w:lineRule="exact"/>
              <w:rPr>
                <w:sz w:val="20"/>
                <w:szCs w:val="20"/>
                <w:color w:val="auto"/>
              </w:rPr>
            </w:pPr>
            <w:r>
              <w:rPr>
                <w:rFonts w:ascii="Arial" w:cs="Arial" w:eastAsia="Arial" w:hAnsi="Arial"/>
                <w:sz w:val="12"/>
                <w:szCs w:val="12"/>
                <w:color w:val="auto"/>
              </w:rPr>
              <w:t>67,241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195,817</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203,796</w:t>
            </w:r>
          </w:p>
        </w:tc>
        <w:tc>
          <w:tcPr>
            <w:tcW w:w="40" w:type="dxa"/>
            <w:vAlign w:val="bottom"/>
            <w:shd w:val="clear" w:color="auto" w:fill="CCEEFF"/>
          </w:tcPr>
          <w:p>
            <w:pPr>
              <w:spacing w:after="0"/>
              <w:rPr>
                <w:sz w:val="11"/>
                <w:szCs w:val="11"/>
                <w:color w:val="auto"/>
              </w:rPr>
            </w:pPr>
          </w:p>
        </w:tc>
      </w:tr>
      <w:tr>
        <w:trPr>
          <w:trHeight w:val="144"/>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7,705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23,348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21,668</w:t>
            </w:r>
          </w:p>
        </w:tc>
        <w:tc>
          <w:tcPr>
            <w:tcW w:w="40" w:type="dxa"/>
            <w:vAlign w:val="bottom"/>
            <w:shd w:val="clear" w:color="auto" w:fill="CCEEFF"/>
          </w:tcPr>
          <w:p>
            <w:pPr>
              <w:spacing w:after="0"/>
              <w:rPr>
                <w:sz w:val="12"/>
                <w:szCs w:val="12"/>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additional discussions about transactions with the general partner and related parties in Note H – Equity.</w:t>
      </w:r>
    </w:p>
    <w:p>
      <w:pPr>
        <w:spacing w:after="0" w:line="146" w:lineRule="exact"/>
        <w:rPr>
          <w:sz w:val="20"/>
          <w:szCs w:val="20"/>
          <w:color w:val="auto"/>
        </w:rPr>
      </w:pPr>
    </w:p>
    <w:p>
      <w:pPr>
        <w:ind w:left="280" w:hanging="258"/>
        <w:spacing w:after="0"/>
        <w:tabs>
          <w:tab w:leader="none" w:pos="280"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Contingencies and commitments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Litigation</w:t>
      </w:r>
    </w:p>
    <w:p>
      <w:pPr>
        <w:spacing w:after="0" w:line="150"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Ferrellgas’ operations are subject to all operating hazards and risks normally incidental to handling, storing, transporting and otherwise providing for use by consumers of combustible liquids such as propane and, prior to the sales of midstream operations during the fiscal year ended July 31, 2018, crude oil. As a result, at any given time, Ferrellgas can be threatened with or named as a defendant in various lawsuits arising in the ordinary course of business. Other than as discussed below, Ferrellgas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w:t>
      </w:r>
    </w:p>
    <w:p>
      <w:pPr>
        <w:spacing w:after="0" w:line="128" w:lineRule="exact"/>
        <w:rPr>
          <w:sz w:val="20"/>
          <w:szCs w:val="20"/>
          <w:color w:val="auto"/>
        </w:rPr>
      </w:pPr>
    </w:p>
    <w:p>
      <w:pPr>
        <w:ind w:left="20" w:right="99"/>
        <w:spacing w:after="0" w:line="308" w:lineRule="auto"/>
        <w:rPr>
          <w:sz w:val="20"/>
          <w:szCs w:val="20"/>
          <w:color w:val="auto"/>
        </w:rPr>
      </w:pPr>
      <w:r>
        <w:rPr>
          <w:rFonts w:ascii="Arial" w:cs="Arial" w:eastAsia="Arial" w:hAnsi="Arial"/>
          <w:sz w:val="10"/>
          <w:szCs w:val="10"/>
          <w:color w:val="auto"/>
        </w:rPr>
        <w:t>Ferrellgas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believes it has strong defenses and intends to vigorously defend itself against these remaining claims. Ferrellgas does not believe loss is probable or reasonably estimable at this time related to the putative class action lawsuit.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0" w:name="page31"/>
    <w:bookmarkEnd w:id="3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39"/>
        <w:spacing w:after="0" w:line="277" w:lineRule="auto"/>
        <w:rPr>
          <w:sz w:val="20"/>
          <w:szCs w:val="20"/>
          <w:color w:val="auto"/>
        </w:rPr>
      </w:pPr>
      <w:r>
        <w:rPr>
          <w:rFonts w:ascii="Arial" w:cs="Arial" w:eastAsia="Arial" w:hAnsi="Arial"/>
          <w:sz w:val="11"/>
          <w:szCs w:val="11"/>
          <w:color w:val="auto"/>
        </w:rPr>
        <w:t>Ferrellgas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 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116" w:lineRule="exact"/>
        <w:rPr>
          <w:sz w:val="20"/>
          <w:szCs w:val="20"/>
          <w:color w:val="auto"/>
        </w:rPr>
      </w:pPr>
    </w:p>
    <w:p>
      <w:pPr>
        <w:ind w:left="260" w:hanging="238"/>
        <w:spacing w:after="0"/>
        <w:tabs>
          <w:tab w:leader="none" w:pos="260"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Net earnings (loss) per unitholders’ interest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Below is a calculation of the basic and diluted net loss per Class A unitholders’ interest in the condensed consolidated statements of operations for the periods indicated: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6"/>
          </w:tcPr>
          <w:p>
            <w:pPr>
              <w:jc w:val="right"/>
              <w:ind w:right="324"/>
              <w:spacing w:after="0"/>
              <w:rPr>
                <w:sz w:val="20"/>
                <w:szCs w:val="20"/>
                <w:color w:val="auto"/>
              </w:rPr>
            </w:pPr>
            <w:r>
              <w:rPr>
                <w:rFonts w:ascii="Arial" w:cs="Arial" w:eastAsia="Arial" w:hAnsi="Arial"/>
                <w:sz w:val="10"/>
                <w:szCs w:val="10"/>
                <w:b w:val="1"/>
                <w:bCs w:val="1"/>
                <w:color w:val="auto"/>
                <w:w w:val="89"/>
              </w:rPr>
              <w:t>For the three months ended April 30,</w:t>
            </w:r>
          </w:p>
        </w:tc>
        <w:tc>
          <w:tcPr>
            <w:tcW w:w="120" w:type="dxa"/>
            <w:vAlign w:val="bottom"/>
          </w:tcPr>
          <w:p>
            <w:pPr>
              <w:spacing w:after="0"/>
              <w:rPr>
                <w:sz w:val="10"/>
                <w:szCs w:val="10"/>
                <w:color w:val="auto"/>
              </w:rPr>
            </w:pPr>
          </w:p>
        </w:tc>
        <w:tc>
          <w:tcPr>
            <w:tcW w:w="1820" w:type="dxa"/>
            <w:vAlign w:val="bottom"/>
            <w:gridSpan w:val="5"/>
          </w:tcPr>
          <w:p>
            <w:pPr>
              <w:ind w:left="60"/>
              <w:spacing w:after="0"/>
              <w:rPr>
                <w:sz w:val="20"/>
                <w:szCs w:val="20"/>
                <w:color w:val="auto"/>
              </w:rPr>
            </w:pPr>
            <w:r>
              <w:rPr>
                <w:rFonts w:ascii="Arial" w:cs="Arial" w:eastAsia="Arial" w:hAnsi="Arial"/>
                <w:sz w:val="10"/>
                <w:szCs w:val="10"/>
                <w:b w:val="1"/>
                <w:bCs w:val="1"/>
                <w:color w:val="auto"/>
              </w:rPr>
              <w:t>For the nine months ended April 30,</w:t>
            </w:r>
          </w:p>
        </w:tc>
        <w:tc>
          <w:tcPr>
            <w:tcW w:w="0" w:type="dxa"/>
            <w:vAlign w:val="bottom"/>
          </w:tcPr>
          <w:p>
            <w:pPr>
              <w:spacing w:after="0"/>
              <w:rPr>
                <w:sz w:val="1"/>
                <w:szCs w:val="1"/>
                <w:color w:val="auto"/>
              </w:rPr>
            </w:pPr>
          </w:p>
        </w:tc>
      </w:tr>
      <w:tr>
        <w:trPr>
          <w:trHeight w:val="88"/>
        </w:trPr>
        <w:tc>
          <w:tcPr>
            <w:tcW w:w="496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285"/>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83"/>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vMerge w:val="restart"/>
          </w:tcPr>
          <w:p>
            <w:pPr>
              <w:jc w:val="right"/>
              <w:ind w:right="24"/>
              <w:spacing w:after="0"/>
              <w:rPr>
                <w:sz w:val="20"/>
                <w:szCs w:val="20"/>
                <w:color w:val="auto"/>
              </w:rPr>
            </w:pPr>
            <w:r>
              <w:rPr>
                <w:rFonts w:ascii="Arial" w:cs="Arial" w:eastAsia="Arial" w:hAnsi="Arial"/>
                <w:sz w:val="7"/>
                <w:szCs w:val="7"/>
                <w:b w:val="1"/>
                <w:bCs w:val="1"/>
                <w:color w:val="auto"/>
                <w:w w:val="72"/>
              </w:rPr>
              <w:t>per</w:t>
            </w:r>
          </w:p>
        </w:tc>
        <w:tc>
          <w:tcPr>
            <w:tcW w:w="12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85"/>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83"/>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3"/>
          </w:tcPr>
          <w:p>
            <w:pPr>
              <w:jc w:val="right"/>
              <w:ind w:right="3"/>
              <w:spacing w:after="0" w:line="79" w:lineRule="exact"/>
              <w:rPr>
                <w:sz w:val="20"/>
                <w:szCs w:val="20"/>
                <w:color w:val="auto"/>
              </w:rPr>
            </w:pPr>
            <w:r>
              <w:rPr>
                <w:rFonts w:ascii="Arial" w:cs="Arial" w:eastAsia="Arial" w:hAnsi="Arial"/>
                <w:sz w:val="8"/>
                <w:szCs w:val="8"/>
                <w:b w:val="1"/>
                <w:bCs w:val="1"/>
                <w:color w:val="auto"/>
              </w:rPr>
              <w:t>(in thousands, except</w:t>
            </w:r>
          </w:p>
        </w:tc>
        <w:tc>
          <w:tcPr>
            <w:tcW w:w="160" w:type="dxa"/>
            <w:vAlign w:val="bottom"/>
            <w:vMerge w:val="continue"/>
          </w:tcPr>
          <w:p>
            <w:pPr>
              <w:spacing w:after="0"/>
              <w:rPr>
                <w:sz w:val="6"/>
                <w:szCs w:val="6"/>
                <w:color w:val="auto"/>
              </w:rPr>
            </w:pPr>
          </w:p>
        </w:tc>
        <w:tc>
          <w:tcPr>
            <w:tcW w:w="860" w:type="dxa"/>
            <w:vAlign w:val="bottom"/>
            <w:gridSpan w:val="2"/>
          </w:tcPr>
          <w:p>
            <w:pPr>
              <w:spacing w:after="0" w:line="79" w:lineRule="exact"/>
              <w:rPr>
                <w:sz w:val="20"/>
                <w:szCs w:val="20"/>
                <w:color w:val="auto"/>
              </w:rPr>
            </w:pPr>
            <w:r>
              <w:rPr>
                <w:rFonts w:ascii="Arial" w:cs="Arial" w:eastAsia="Arial" w:hAnsi="Arial"/>
                <w:sz w:val="8"/>
                <w:szCs w:val="8"/>
                <w:b w:val="1"/>
                <w:bCs w:val="1"/>
                <w:color w:val="auto"/>
                <w:w w:val="94"/>
              </w:rPr>
              <w:t>common unit amounts)</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Class A unitholders’ interest in 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(74,057)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4"/>
              <w:spacing w:after="0"/>
              <w:rPr>
                <w:sz w:val="20"/>
                <w:szCs w:val="20"/>
                <w:color w:val="auto"/>
              </w:rPr>
            </w:pPr>
            <w:r>
              <w:rPr>
                <w:rFonts w:ascii="Arial" w:cs="Arial" w:eastAsia="Arial" w:hAnsi="Arial"/>
                <w:sz w:val="12"/>
                <w:szCs w:val="12"/>
                <w:color w:val="auto"/>
              </w:rPr>
              <w:t>(15,239)</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(57,024)</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(12,405)</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20"/>
                <w:szCs w:val="20"/>
                <w:color w:val="auto"/>
              </w:rPr>
            </w:pPr>
            <w:r>
              <w:rPr>
                <w:rFonts w:ascii="Arial" w:cs="Arial" w:eastAsia="Arial" w:hAnsi="Arial"/>
                <w:sz w:val="12"/>
                <w:szCs w:val="12"/>
                <w:color w:val="auto"/>
              </w:rPr>
              <w:t>Weighted average common units outstanding (in thousands)</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4,857.6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4,857.6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4,857.6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4,857.6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net loss per Class A common unit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(15.25)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4"/>
              <w:spacing w:after="0"/>
              <w:rPr>
                <w:sz w:val="20"/>
                <w:szCs w:val="20"/>
                <w:color w:val="auto"/>
              </w:rPr>
            </w:pPr>
            <w:r>
              <w:rPr>
                <w:rFonts w:ascii="Arial" w:cs="Arial" w:eastAsia="Arial" w:hAnsi="Arial"/>
                <w:sz w:val="12"/>
                <w:szCs w:val="12"/>
                <w:color w:val="auto"/>
              </w:rPr>
              <w:t>(3.14)</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(11.74)</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Class B units considerations</w:t>
      </w:r>
    </w:p>
    <w:p>
      <w:pPr>
        <w:spacing w:after="0" w:line="150"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The Class B units meet the definition of a participating security and the two-class method is required. For any periods in which earnings are recognized, the earnings will be allocated between the Class B units and the Class A units on a six-to-one basis. For any periods in which losses are recognized, no effect is given to the Class B units as they do not contractually participate in the losses of Ferrellgas.</w:t>
      </w:r>
    </w:p>
    <w:p>
      <w:pPr>
        <w:spacing w:after="0" w:line="122"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In addition, Ferrellgas has the option to redeem all, but not less than all, of the Class B units outstanding at any time on or prior to the fifth anniversary of the Effective Date for cash. This call option does not impact the dilutive effect of net earnings (loss) per common unit due to the cash-only redemption provision, which is assumed, therefore there would be no dilutive effect.</w:t>
      </w:r>
    </w:p>
    <w:p>
      <w:pPr>
        <w:spacing w:after="0" w:line="118" w:lineRule="exact"/>
        <w:rPr>
          <w:sz w:val="20"/>
          <w:szCs w:val="20"/>
          <w:color w:val="auto"/>
        </w:rPr>
      </w:pPr>
    </w:p>
    <w:p>
      <w:pPr>
        <w:ind w:left="260" w:hanging="238"/>
        <w:spacing w:after="0"/>
        <w:tabs>
          <w:tab w:leader="none" w:pos="260"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Subsequent events</w:t>
      </w:r>
    </w:p>
    <w:p>
      <w:pPr>
        <w:spacing w:after="0" w:line="154"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Ferrellgas has evaluated events and transactions occurring after the balance sheet date through the date Ferrellgas’ condensed consolidated financial statements were issued and concluded that no events or transactions occurring during this period that require recognition or disclosure in its condensed consolidated financial statements, except as follows.</w:t>
      </w:r>
    </w:p>
    <w:p>
      <w:pPr>
        <w:spacing w:after="0" w:line="92" w:lineRule="exact"/>
        <w:rPr>
          <w:sz w:val="20"/>
          <w:szCs w:val="20"/>
          <w:color w:val="auto"/>
        </w:rPr>
      </w:pPr>
    </w:p>
    <w:p>
      <w:pPr>
        <w:ind w:left="20" w:right="259"/>
        <w:spacing w:after="0" w:line="259" w:lineRule="auto"/>
        <w:rPr>
          <w:sz w:val="20"/>
          <w:szCs w:val="20"/>
          <w:color w:val="auto"/>
        </w:rPr>
      </w:pPr>
      <w:r>
        <w:rPr>
          <w:rFonts w:ascii="Arial" w:cs="Arial" w:eastAsia="Arial" w:hAnsi="Arial"/>
          <w:sz w:val="12"/>
          <w:szCs w:val="12"/>
          <w:color w:val="auto"/>
        </w:rPr>
        <w:t>On June 11, 2021, Ferrellgas Partners, Ferrellgas, Inc. and certain subsidiaries of Ferrellgas Partners, as guarantors, the lenders party thereto, and JPMorgan Chase Bank, N.A., as administrative agent and collateral agent for the lenders (the “Agent”), entered into a First Amendment to Credit Agreement (the “Credit Agreement Amendment”) which amends its existing Credit Agreement, dated as of March 30, 2021 (the “Existing Credit Agreement”). The Credit Agreement Amendment does not alter the size or tenor of the loans provided (a four-year revolving credit facility in an aggregate principal amount of up to $350.0 million).</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1" w:name="page32"/>
    <w:bookmarkEnd w:id="3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59"/>
        <w:spacing w:after="0" w:line="254" w:lineRule="auto"/>
        <w:rPr>
          <w:sz w:val="20"/>
          <w:szCs w:val="20"/>
          <w:color w:val="auto"/>
        </w:rPr>
      </w:pPr>
      <w:r>
        <w:rPr>
          <w:rFonts w:ascii="Arial" w:cs="Arial" w:eastAsia="Arial" w:hAnsi="Arial"/>
          <w:sz w:val="12"/>
          <w:szCs w:val="12"/>
          <w:color w:val="auto"/>
        </w:rPr>
        <w:t>The Credit Agreement Amendment, which has an effective date of April 30, 2021, amends the financial covenant requiring Ferrellgas Partners and its subsidiaries to maintain a specified consolidated Minimum Interest Coverage Ratio (“Minimum Coverage Ratio”) of at least 2.50 to 1.00 as of the end of each fiscal quarter for the period consisting of the trailing four fiscal quarters by (i) waiving the financial covenant for the trailing four fiscal quarters ending April 30, 2021 and (ii) annualizing the consolidated cash interest charges component of the covenant for (a) the fiscal quarter ending on July 31, 2021, (b) the two fiscal quarters ending on October 31, 2021, and (c) the three fiscal quarters ending on January 31, 2022. In addition, the Credit Agreement Amendment waives compliance with the representations related to the accuracy of the information set forth in Schedules 4.12 and 4.29 to the Existing Credit Agreement and any default arising therefrom. The Credit Agreement Amendment further amends and replaces Schedules 4.12 and 4.29 in their entirety. In addition, the Credit Agreement Amendment modifies the timing for payment of certain fees and modifies certain provisions relating to the timing and delivery of collateral documents as well as certain other deliverables.</w:t>
      </w:r>
    </w:p>
    <w:p>
      <w:pPr>
        <w:spacing w:after="0" w:line="128"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The foregoing description of the Credit Agreement Amendment does not purport to be complete and is qualified in its entirety by reference to the full text of the First Amendment to the Credit Agreement, which is filed or incorporated by reference as Exhibit 10.29.</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2" w:name="page33"/>
    <w:bookmarkEnd w:id="3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Partners,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9"/>
              </w:rPr>
              <w:t>April 30, 2021</w:t>
            </w:r>
          </w:p>
        </w:tc>
        <w:tc>
          <w:tcPr>
            <w:tcW w:w="160" w:type="dxa"/>
            <w:vAlign w:val="bottom"/>
          </w:tcPr>
          <w:p>
            <w:pPr>
              <w:spacing w:after="0"/>
              <w:rPr>
                <w:sz w:val="10"/>
                <w:szCs w:val="10"/>
                <w:color w:val="auto"/>
              </w:rPr>
            </w:pPr>
          </w:p>
        </w:tc>
        <w:tc>
          <w:tcPr>
            <w:tcW w:w="860" w:type="dxa"/>
            <w:vAlign w:val="bottom"/>
          </w:tcPr>
          <w:p>
            <w:pPr>
              <w:jc w:val="right"/>
              <w:ind w:right="18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6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4"/>
        </w:trPr>
        <w:tc>
          <w:tcPr>
            <w:tcW w:w="6720" w:type="dxa"/>
            <w:vAlign w:val="bottom"/>
          </w:tcPr>
          <w:p>
            <w:pPr>
              <w:spacing w:after="0"/>
              <w:rPr>
                <w:sz w:val="20"/>
                <w:szCs w:val="20"/>
                <w:color w:val="auto"/>
              </w:rPr>
            </w:pPr>
            <w:r>
              <w:rPr>
                <w:rFonts w:ascii="Arial" w:cs="Arial" w:eastAsia="Arial" w:hAnsi="Arial"/>
                <w:sz w:val="12"/>
                <w:szCs w:val="12"/>
                <w:color w:val="auto"/>
              </w:rPr>
              <w:t>Cash</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1,000</w:t>
            </w:r>
          </w:p>
        </w:tc>
        <w:tc>
          <w:tcPr>
            <w:tcW w:w="2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144"/>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w:t>
            </w:r>
          </w:p>
        </w:tc>
      </w:tr>
      <w:tr>
        <w:trPr>
          <w:trHeight w:val="140"/>
        </w:trPr>
        <w:tc>
          <w:tcPr>
            <w:tcW w:w="6720" w:type="dxa"/>
            <w:vAlign w:val="bottom"/>
            <w:tcBorders>
              <w:bottom w:val="single" w:sz="8" w:color="CCEEFF"/>
            </w:tcBorders>
          </w:tcPr>
          <w:p>
            <w:pPr>
              <w:ind w:left="80"/>
              <w:spacing w:after="0" w:line="133" w:lineRule="exact"/>
              <w:rPr>
                <w:sz w:val="20"/>
                <w:szCs w:val="20"/>
                <w:color w:val="auto"/>
              </w:rPr>
            </w:pPr>
            <w:r>
              <w:rPr>
                <w:rFonts w:ascii="Arial" w:cs="Arial" w:eastAsia="Arial" w:hAnsi="Arial"/>
                <w:sz w:val="12"/>
                <w:szCs w:val="12"/>
                <w:b w:val="1"/>
                <w:bCs w:val="1"/>
                <w:color w:val="auto"/>
              </w:rPr>
              <w:t>Total assets</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1,000</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2,850</w:t>
            </w:r>
          </w:p>
        </w:tc>
      </w:tr>
      <w:tr>
        <w:trPr>
          <w:trHeight w:val="144"/>
        </w:trPr>
        <w:tc>
          <w:tcPr>
            <w:tcW w:w="6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4"/>
        </w:trPr>
        <w:tc>
          <w:tcPr>
            <w:tcW w:w="6720" w:type="dxa"/>
            <w:vAlign w:val="bottom"/>
          </w:tcPr>
          <w:p>
            <w:pPr>
              <w:spacing w:after="0"/>
              <w:rPr>
                <w:sz w:val="20"/>
                <w:szCs w:val="20"/>
                <w:color w:val="auto"/>
              </w:rPr>
            </w:pPr>
            <w:r>
              <w:rPr>
                <w:rFonts w:ascii="Arial" w:cs="Arial" w:eastAsia="Arial" w:hAnsi="Arial"/>
                <w:sz w:val="12"/>
                <w:szCs w:val="12"/>
                <w:b w:val="1"/>
                <w:bCs w:val="1"/>
                <w:color w:val="auto"/>
              </w:rPr>
              <w:t>Contingencies and commitments (Note B)</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4"/>
        </w:trPr>
        <w:tc>
          <w:tcPr>
            <w:tcW w:w="6720" w:type="dxa"/>
            <w:vAlign w:val="bottom"/>
          </w:tcPr>
          <w:p>
            <w:pPr>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 $1.00 par value; 2,000 shares authorized; 1,000 shares issued and outstanding</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44"/>
        </w:trPr>
        <w:tc>
          <w:tcPr>
            <w:tcW w:w="6720" w:type="dxa"/>
            <w:vAlign w:val="bottom"/>
          </w:tcPr>
          <w:p>
            <w:pPr>
              <w:ind w:left="80"/>
              <w:spacing w:after="0"/>
              <w:rPr>
                <w:sz w:val="20"/>
                <w:szCs w:val="20"/>
                <w:color w:val="auto"/>
              </w:rPr>
            </w:pPr>
            <w:r>
              <w:rPr>
                <w:rFonts w:ascii="Arial" w:cs="Arial" w:eastAsia="Arial" w:hAnsi="Arial"/>
                <w:sz w:val="12"/>
                <w:szCs w:val="12"/>
                <w:color w:val="auto"/>
              </w:rPr>
              <w:t>Additional paid in capital</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39,486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38,846</w:t>
            </w:r>
          </w:p>
        </w:tc>
      </w:tr>
      <w:tr>
        <w:trPr>
          <w:trHeight w:val="144"/>
        </w:trPr>
        <w:tc>
          <w:tcPr>
            <w:tcW w:w="6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Accumulated deficit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(39,486)</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(36,996)</w:t>
            </w:r>
          </w:p>
        </w:tc>
      </w:tr>
      <w:tr>
        <w:trPr>
          <w:trHeight w:val="140"/>
        </w:trPr>
        <w:tc>
          <w:tcPr>
            <w:tcW w:w="6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Total stockholder’s equity</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1,000</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2,850</w:t>
            </w: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3" w:name="page34"/>
    <w:bookmarkEnd w:id="3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Partners,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ind w:left="40"/>
              <w:spacing w:after="0"/>
              <w:rPr>
                <w:sz w:val="20"/>
                <w:szCs w:val="20"/>
                <w:color w:val="auto"/>
              </w:rPr>
            </w:pPr>
            <w:r>
              <w:rPr>
                <w:rFonts w:ascii="Arial" w:cs="Arial" w:eastAsia="Arial" w:hAnsi="Arial"/>
                <w:sz w:val="10"/>
                <w:szCs w:val="10"/>
                <w:b w:val="1"/>
                <w:bCs w:val="1"/>
                <w:color w:val="auto"/>
              </w:rPr>
              <w:t>For the three months ended April 30,</w:t>
            </w:r>
          </w:p>
        </w:tc>
        <w:tc>
          <w:tcPr>
            <w:tcW w:w="140" w:type="dxa"/>
            <w:vAlign w:val="bottom"/>
          </w:tcPr>
          <w:p>
            <w:pPr>
              <w:spacing w:after="0"/>
              <w:rPr>
                <w:sz w:val="10"/>
                <w:szCs w:val="10"/>
                <w:color w:val="auto"/>
              </w:rPr>
            </w:pPr>
          </w:p>
        </w:tc>
        <w:tc>
          <w:tcPr>
            <w:tcW w:w="1880" w:type="dxa"/>
            <w:vAlign w:val="bottom"/>
            <w:gridSpan w:val="5"/>
          </w:tcPr>
          <w:p>
            <w:pPr>
              <w:ind w:left="10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2560" w:type="dxa"/>
            <w:vAlign w:val="bottom"/>
            <w:tcBorders>
              <w:bottom w:val="single" w:sz="8" w:color="CCEEFF"/>
            </w:tcBorders>
          </w:tcPr>
          <w:p>
            <w:pPr>
              <w:spacing w:after="0"/>
              <w:rPr>
                <w:sz w:val="7"/>
                <w:szCs w:val="7"/>
                <w:color w:val="auto"/>
              </w:rPr>
            </w:pPr>
          </w:p>
        </w:tc>
        <w:tc>
          <w:tcPr>
            <w:tcW w:w="240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06"/>
              <w:spacing w:after="0" w:line="88"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4"/>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206"/>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860" w:type="dxa"/>
            <w:vAlign w:val="bottom"/>
            <w:tcBorders>
              <w:top w:val="single" w:sz="8" w:color="auto"/>
              <w:bottom w:val="single" w:sz="8" w:color="auto"/>
            </w:tcBorders>
          </w:tcPr>
          <w:p>
            <w:pPr>
              <w:jc w:val="right"/>
              <w:ind w:right="40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2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General and administrative expense</w:t>
            </w: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3,087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2,490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3,977</w:t>
            </w:r>
          </w:p>
        </w:tc>
        <w:tc>
          <w:tcPr>
            <w:tcW w:w="40" w:type="dxa"/>
            <w:vAlign w:val="bottom"/>
            <w:shd w:val="clear" w:color="auto" w:fill="CCEEFF"/>
          </w:tcPr>
          <w:p>
            <w:pPr>
              <w:spacing w:after="0"/>
              <w:rPr>
                <w:sz w:val="11"/>
                <w:szCs w:val="11"/>
                <w:color w:val="auto"/>
              </w:rPr>
            </w:pPr>
          </w:p>
        </w:tc>
      </w:tr>
      <w:tr>
        <w:trPr>
          <w:trHeight w:val="144"/>
        </w:trPr>
        <w:tc>
          <w:tcPr>
            <w:tcW w:w="25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40"/>
        </w:trPr>
        <w:tc>
          <w:tcPr>
            <w:tcW w:w="25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loss</w:t>
            </w:r>
          </w:p>
        </w:tc>
        <w:tc>
          <w:tcPr>
            <w:tcW w:w="2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(341)</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(3,087)</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(2,490)</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(3,977)</w:t>
            </w:r>
          </w:p>
        </w:tc>
        <w:tc>
          <w:tcPr>
            <w:tcW w:w="40" w:type="dxa"/>
            <w:vAlign w:val="bottom"/>
            <w:tcBorders>
              <w:bottom w:val="single" w:sz="8" w:color="CCEEFF"/>
            </w:tcBorders>
            <w:shd w:val="clear" w:color="auto" w:fill="CCEEFF"/>
          </w:tcPr>
          <w:p>
            <w:pPr>
              <w:spacing w:after="0"/>
              <w:rPr>
                <w:sz w:val="12"/>
                <w:szCs w:val="12"/>
                <w:color w:val="auto"/>
              </w:rPr>
            </w:pPr>
          </w:p>
        </w:tc>
      </w:tr>
      <w:tr>
        <w:trPr>
          <w:trHeight w:val="288"/>
        </w:trPr>
        <w:tc>
          <w:tcPr>
            <w:tcW w:w="2560" w:type="dxa"/>
            <w:vAlign w:val="bottom"/>
          </w:tcPr>
          <w:p>
            <w:pPr>
              <w:spacing w:after="0"/>
              <w:rPr>
                <w:sz w:val="24"/>
                <w:szCs w:val="24"/>
                <w:color w:val="auto"/>
              </w:rPr>
            </w:pPr>
          </w:p>
        </w:tc>
        <w:tc>
          <w:tcPr>
            <w:tcW w:w="3300" w:type="dxa"/>
            <w:vAlign w:val="bottom"/>
            <w:gridSpan w:val="4"/>
          </w:tcPr>
          <w:p>
            <w:pPr>
              <w:jc w:val="center"/>
              <w:ind w:left="500"/>
              <w:spacing w:after="0"/>
              <w:rPr>
                <w:sz w:val="20"/>
                <w:szCs w:val="20"/>
                <w:color w:val="auto"/>
              </w:rPr>
            </w:pPr>
            <w:r>
              <w:rPr>
                <w:rFonts w:ascii="Arial" w:cs="Arial" w:eastAsia="Arial" w:hAnsi="Arial"/>
                <w:sz w:val="12"/>
                <w:szCs w:val="12"/>
                <w:color w:val="auto"/>
                <w:w w:val="88"/>
              </w:rPr>
              <w:t>See notes to condensed financial statements.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8"/>
        </w:trPr>
        <w:tc>
          <w:tcPr>
            <w:tcW w:w="2560" w:type="dxa"/>
            <w:vAlign w:val="bottom"/>
          </w:tcPr>
          <w:p>
            <w:pPr>
              <w:spacing w:after="0"/>
              <w:rPr>
                <w:sz w:val="24"/>
                <w:szCs w:val="24"/>
                <w:color w:val="auto"/>
              </w:rPr>
            </w:pPr>
          </w:p>
        </w:tc>
        <w:tc>
          <w:tcPr>
            <w:tcW w:w="2400" w:type="dxa"/>
            <w:vAlign w:val="bottom"/>
          </w:tcPr>
          <w:p>
            <w:pPr>
              <w:jc w:val="right"/>
              <w:ind w:right="36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2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34" w:name="page35"/>
    <w:bookmarkEnd w:id="3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Partners,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2120" w:type="dxa"/>
            <w:vAlign w:val="bottom"/>
            <w:gridSpan w:val="4"/>
          </w:tcPr>
          <w:p>
            <w:pPr>
              <w:jc w:val="right"/>
              <w:ind w:right="52"/>
              <w:spacing w:after="0"/>
              <w:rPr>
                <w:sz w:val="20"/>
                <w:szCs w:val="20"/>
                <w:color w:val="auto"/>
              </w:rPr>
            </w:pPr>
            <w:r>
              <w:rPr>
                <w:rFonts w:ascii="Arial" w:cs="Arial" w:eastAsia="Arial" w:hAnsi="Arial"/>
                <w:sz w:val="10"/>
                <w:szCs w:val="10"/>
                <w:b w:val="1"/>
                <w:bCs w:val="1"/>
                <w:color w:val="auto"/>
              </w:rPr>
              <w:t>For the nine months ended April 30,</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4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jc w:val="right"/>
              <w:ind w:right="152"/>
              <w:spacing w:after="0" w:line="114"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80"/>
              <w:spacing w:after="0"/>
              <w:rPr>
                <w:sz w:val="20"/>
                <w:szCs w:val="20"/>
                <w:color w:val="auto"/>
              </w:rPr>
            </w:pPr>
            <w:r>
              <w:rPr>
                <w:rFonts w:ascii="Arial" w:cs="Arial" w:eastAsia="Arial" w:hAnsi="Arial"/>
                <w:sz w:val="12"/>
                <w:szCs w:val="12"/>
                <w:color w:val="auto"/>
              </w:rPr>
              <w:t>Net loss</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(2,490)</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Changes in operating assets and liabilities:</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1,850</w:t>
            </w: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0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Cash used in operating activities</w:t>
            </w:r>
          </w:p>
        </w:tc>
        <w:tc>
          <w:tcPr>
            <w:tcW w:w="5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(640)</w:t>
            </w:r>
          </w:p>
        </w:tc>
        <w:tc>
          <w:tcPr>
            <w:tcW w:w="1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Capital contribution</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w:t>
            </w: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0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Cash provided by financing activities</w:t>
            </w:r>
          </w:p>
        </w:tc>
        <w:tc>
          <w:tcPr>
            <w:tcW w:w="5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640</w:t>
            </w:r>
          </w:p>
        </w:tc>
        <w:tc>
          <w:tcPr>
            <w:tcW w:w="1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w:t>
            </w: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 beginning of period</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1,000</w:t>
            </w: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 end of period</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1,000</w:t>
            </w:r>
          </w:p>
        </w:tc>
        <w:tc>
          <w:tcPr>
            <w:tcW w:w="1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5" w:name="page36"/>
    <w:bookmarkEnd w:id="3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FERRELLGAS PARTNERS FINANCE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wholly-owned subsidiary of Ferrellgas Partners, L.P.)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0" w:lineRule="exact"/>
        <w:rPr>
          <w:sz w:val="20"/>
          <w:szCs w:val="20"/>
          <w:color w:val="auto"/>
        </w:rPr>
      </w:pPr>
    </w:p>
    <w:p>
      <w:pPr>
        <w:ind w:left="260" w:hanging="238"/>
        <w:spacing w:after="0"/>
        <w:tabs>
          <w:tab w:leader="none" w:pos="260"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Ferrellgas Partners Finance Corp. (the “Finance Corp.”), a Delaware corporation, was formed on March 28, 1996, and is a wholly-owned subsidiary of Ferrellgas Partners, L.P.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(“Ferrellgas Partners”).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Ferrellgas Partners contributed $1,000 to the Finance Corp. on April 8, 1996 in exchange for 1,000 shares of common stock.</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Finance Corp. has nominal assets, does not conduct any operations and has no employees.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Chapter 11 Bankruptcy Cases</w:t>
      </w:r>
    </w:p>
    <w:p>
      <w:pPr>
        <w:spacing w:after="0" w:line="150" w:lineRule="exact"/>
        <w:rPr>
          <w:sz w:val="20"/>
          <w:szCs w:val="20"/>
          <w:color w:val="auto"/>
        </w:rPr>
      </w:pPr>
    </w:p>
    <w:p>
      <w:pPr>
        <w:ind w:left="20" w:right="299"/>
        <w:spacing w:after="0" w:line="263" w:lineRule="auto"/>
        <w:rPr>
          <w:sz w:val="20"/>
          <w:szCs w:val="20"/>
          <w:color w:val="auto"/>
        </w:rPr>
      </w:pPr>
      <w:r>
        <w:rPr>
          <w:rFonts w:ascii="Arial" w:cs="Arial" w:eastAsia="Arial" w:hAnsi="Arial"/>
          <w:sz w:val="12"/>
          <w:szCs w:val="12"/>
          <w:color w:val="auto"/>
        </w:rPr>
        <w:t xml:space="preserve">As previously reported, on January 11, 2021, Ferrellgas Partners and the Finance Corp. filed voluntary petitions for relief under chapter 11 of title 11 of the United States Code in the United States Bankruptcy Court for the District of Delaware (the “Bankruptcy Court”). The chapter 11 cases were jointly administered under the caption and case numbers, </w:t>
      </w:r>
      <w:r>
        <w:rPr>
          <w:rFonts w:ascii="Arial" w:cs="Arial" w:eastAsia="Arial" w:hAnsi="Arial"/>
          <w:sz w:val="12"/>
          <w:szCs w:val="12"/>
          <w:i w:val="1"/>
          <w:iCs w:val="1"/>
          <w:color w:val="auto"/>
        </w:rPr>
        <w:t>In re:</w:t>
      </w:r>
      <w:r>
        <w:rPr>
          <w:rFonts w:ascii="Arial" w:cs="Arial" w:eastAsia="Arial" w:hAnsi="Arial"/>
          <w:sz w:val="12"/>
          <w:szCs w:val="12"/>
          <w:color w:val="auto"/>
        </w:rPr>
        <w:t xml:space="preserve"> </w:t>
      </w:r>
      <w:r>
        <w:rPr>
          <w:rFonts w:ascii="Arial" w:cs="Arial" w:eastAsia="Arial" w:hAnsi="Arial"/>
          <w:sz w:val="12"/>
          <w:szCs w:val="12"/>
          <w:i w:val="1"/>
          <w:iCs w:val="1"/>
          <w:color w:val="auto"/>
        </w:rPr>
        <w:t>Ferrellgas Partners, L.P. and Ferrellgas Partners Finance Corp.</w:t>
      </w:r>
      <w:r>
        <w:rPr>
          <w:rFonts w:ascii="Arial" w:cs="Arial" w:eastAsia="Arial" w:hAnsi="Arial"/>
          <w:sz w:val="12"/>
          <w:szCs w:val="12"/>
          <w:color w:val="auto"/>
        </w:rPr>
        <w:t>, Chapter 11 Case Nos. 21-10020 and 21-10021.</w:t>
      </w:r>
    </w:p>
    <w:p>
      <w:pPr>
        <w:spacing w:after="0" w:line="122"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 xml:space="preserve">On March 5, 2021, the Bankruptcy Court entered an order (the “Confirmation Order”) confirming the </w:t>
      </w:r>
      <w:r>
        <w:rPr>
          <w:rFonts w:ascii="Arial" w:cs="Arial" w:eastAsia="Arial" w:hAnsi="Arial"/>
          <w:sz w:val="12"/>
          <w:szCs w:val="12"/>
          <w:i w:val="1"/>
          <w:iCs w:val="1"/>
          <w:color w:val="auto"/>
        </w:rPr>
        <w:t>Second Amended Prepackaged Joint Chapter 11 Plan of Reorganization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Ferrellgas Partners, L.P. and Ferrellgas Partners Finance Corp. </w:t>
      </w:r>
      <w:r>
        <w:rPr>
          <w:rFonts w:ascii="Arial" w:cs="Arial" w:eastAsia="Arial" w:hAnsi="Arial"/>
          <w:sz w:val="12"/>
          <w:szCs w:val="12"/>
          <w:color w:val="auto"/>
        </w:rPr>
        <w:t>(the “Plan”).</w:t>
      </w:r>
    </w:p>
    <w:p>
      <w:pPr>
        <w:spacing w:after="0" w:line="115"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On March 30, 2021 (the “Effective Date”), the conditions to effectiveness of the Plan were satisfied and the Confirmation Order was deemed binding upon Ferrellgas Partners, the Finance Corp. and all other parties affected by the Plan. In satisfying the conditions of the Plan, on the Effective Date, certain restructuring transactions by Ferrellgas Partners and certain financing transactions by Ferrellgas, L.P. were completed.</w:t>
      </w:r>
    </w:p>
    <w:p>
      <w:pPr>
        <w:spacing w:after="0" w:line="118" w:lineRule="exact"/>
        <w:rPr>
          <w:sz w:val="20"/>
          <w:szCs w:val="20"/>
          <w:color w:val="auto"/>
        </w:rPr>
      </w:pPr>
    </w:p>
    <w:p>
      <w:pPr>
        <w:ind w:left="260" w:hanging="238"/>
        <w:spacing w:after="0"/>
        <w:tabs>
          <w:tab w:leader="none" w:pos="260"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Contingencies and commitments</w:t>
      </w:r>
    </w:p>
    <w:p>
      <w:pPr>
        <w:spacing w:after="0" w:line="154"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Finance Corp. serves as co-issuer and co-obligor for debt securities of Ferrellgas Partners. At July 31, 2020, the Finance Corp. was liable as co-issuer and co-obligor for the $357.0 million aggregate principal amount of Ferrellgas Partners’ unsecured senior notes due June 15, 2020, which Ferrellgas Partners failed to repay, and which obligation was only reported on Ferrellgas Partners’ condensed consolidated balance sheet. On the Effective Date, by operation of the Plan, all outstanding indebtedness under the Ferrellgas Partners Notes was discharged and cancelled. As of April 30, 2021, Ferrellgas Partners had no debt securities outstanding, and the Finance Corp. therefore was not liable as co-issuer for any such debt securities.</w:t>
      </w:r>
    </w:p>
    <w:p>
      <w:pPr>
        <w:spacing w:after="0" w:line="124" w:lineRule="exact"/>
        <w:rPr>
          <w:sz w:val="20"/>
          <w:szCs w:val="20"/>
          <w:color w:val="auto"/>
        </w:rPr>
      </w:pPr>
    </w:p>
    <w:p>
      <w:pPr>
        <w:ind w:left="260" w:hanging="238"/>
        <w:spacing w:after="0"/>
        <w:tabs>
          <w:tab w:leader="none" w:pos="260"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Subsequent events</w:t>
      </w:r>
    </w:p>
    <w:p>
      <w:pPr>
        <w:spacing w:after="0" w:line="154" w:lineRule="exact"/>
        <w:rPr>
          <w:sz w:val="20"/>
          <w:szCs w:val="20"/>
          <w:color w:val="auto"/>
        </w:rPr>
      </w:pPr>
    </w:p>
    <w:p>
      <w:pPr>
        <w:ind w:left="20" w:right="259"/>
        <w:spacing w:after="0" w:line="379" w:lineRule="auto"/>
        <w:rPr>
          <w:sz w:val="20"/>
          <w:szCs w:val="20"/>
          <w:color w:val="auto"/>
        </w:rPr>
      </w:pPr>
      <w:r>
        <w:rPr>
          <w:rFonts w:ascii="Arial" w:cs="Arial" w:eastAsia="Arial" w:hAnsi="Arial"/>
          <w:sz w:val="10"/>
          <w:szCs w:val="10"/>
          <w:color w:val="auto"/>
        </w:rPr>
        <w:t>The Finance Corp. has evaluated events and transactions occurring after the balance sheet date through the date the Finance Corp.’s condensed consolidated financial statements were issued and concluded that there were no events or transactions occurring during this period that require recognition or disclosure in its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6" w:name="page37"/>
    <w:bookmarkEnd w:id="3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4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w w:val="99"/>
              </w:rPr>
              <w:t>April 30, 2021</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97"/>
              </w:rPr>
              <w:t>July 31, 2020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w w:val="94"/>
              </w:rPr>
              <w:t>Cash and cash equivalents (including $11,500 and $95,759 of restricted cash at April 30, 2021 and July 31, 2020, respectively)</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210,251</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60"/>
              <w:spacing w:after="0"/>
              <w:rPr>
                <w:sz w:val="20"/>
                <w:szCs w:val="20"/>
                <w:color w:val="auto"/>
              </w:rPr>
            </w:pPr>
            <w:r>
              <w:rPr>
                <w:rFonts w:ascii="Arial" w:cs="Arial" w:eastAsia="Arial" w:hAnsi="Arial"/>
                <w:sz w:val="12"/>
                <w:szCs w:val="12"/>
                <w:color w:val="auto"/>
              </w:rPr>
              <w:t>Accounts and notes receivable, net (including $103,703 of accounts receivable pledged as collateral at July 31, 2020)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170,516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101,438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Inventories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73,964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b w:val="1"/>
                <w:bCs w:val="1"/>
                <w:color w:val="auto"/>
              </w:rPr>
              <w:t>Total current assets</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524,473</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543,754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582,838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591,042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Goodwill, 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246,946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247,195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w w:val="95"/>
              </w:rPr>
              <w:t>Intangible assets (net of accumulated amortization of $429,135 and $423,290 at April 30, 2021 and July 31, 2020, respectively)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93,341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107,349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Loan receivable - Ferrellgas Partners, L.P.</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 net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86,914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74,748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Borders>
              <w:bottom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1,657,129</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1,668,137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MEZZANINE AND EQUITY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60"/>
              <w:spacing w:after="0"/>
              <w:rPr>
                <w:sz w:val="20"/>
                <w:szCs w:val="20"/>
                <w:color w:val="auto"/>
              </w:rPr>
            </w:pPr>
            <w:r>
              <w:rPr>
                <w:rFonts w:ascii="Arial" w:cs="Arial" w:eastAsia="Arial" w:hAnsi="Arial"/>
                <w:sz w:val="12"/>
                <w:szCs w:val="12"/>
                <w:color w:val="auto"/>
              </w:rPr>
              <w:t>Accounts payable</w:t>
            </w: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54,320</w:t>
            </w:r>
          </w:p>
        </w:tc>
        <w:tc>
          <w:tcPr>
            <w:tcW w:w="34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33,944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Current portion of long-term debt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502,095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60"/>
              <w:spacing w:after="0"/>
              <w:rPr>
                <w:sz w:val="20"/>
                <w:szCs w:val="20"/>
                <w:color w:val="auto"/>
              </w:rPr>
            </w:pPr>
            <w:r>
              <w:rPr>
                <w:rFonts w:ascii="Arial" w:cs="Arial" w:eastAsia="Arial" w:hAnsi="Arial"/>
                <w:sz w:val="12"/>
                <w:szCs w:val="12"/>
                <w:color w:val="auto"/>
              </w:rPr>
              <w:t>Current operating lease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26,669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29,345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current liabilities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175,400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148,136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Total current liabilities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257,954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713,520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Long-term debt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1,443,095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1,646,396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Other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51,427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51,190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Contingencies and commitments (Note L)</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Mezzanine equity: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Senior preferred units, net of issue discount and offering costs (700,000 units outstanding at April 30, 2021)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651,854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Limited partners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(849,381)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60"/>
              <w:spacing w:after="0"/>
              <w:rPr>
                <w:sz w:val="20"/>
                <w:szCs w:val="20"/>
                <w:color w:val="auto"/>
              </w:rPr>
            </w:pPr>
            <w:r>
              <w:rPr>
                <w:rFonts w:ascii="Arial" w:cs="Arial" w:eastAsia="Arial" w:hAnsi="Arial"/>
                <w:sz w:val="12"/>
                <w:szCs w:val="12"/>
                <w:color w:val="auto"/>
              </w:rPr>
              <w:t>General partner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(8,501)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(8,216)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Accumulated other comprehensive income (loss)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32,183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4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b w:val="1"/>
                <w:bCs w:val="1"/>
                <w:color w:val="auto"/>
              </w:rPr>
              <w:t>Total equity</w:t>
            </w: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(825,699)</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(831,991)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Borders>
              <w:bottom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b w:val="1"/>
                <w:bCs w:val="1"/>
                <w:color w:val="auto"/>
              </w:rPr>
              <w:t>Total liabilities, mezzanine and equity</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1,657,129</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1,668,137</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7" w:name="page38"/>
    <w:bookmarkEnd w:id="3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5"/>
          </w:tcPr>
          <w:p>
            <w:pPr>
              <w:jc w:val="right"/>
              <w:ind w:right="101"/>
              <w:spacing w:after="0"/>
              <w:rPr>
                <w:sz w:val="20"/>
                <w:szCs w:val="20"/>
                <w:color w:val="auto"/>
              </w:rPr>
            </w:pPr>
            <w:r>
              <w:rPr>
                <w:rFonts w:ascii="Arial" w:cs="Arial" w:eastAsia="Arial" w:hAnsi="Arial"/>
                <w:sz w:val="10"/>
                <w:szCs w:val="10"/>
                <w:b w:val="1"/>
                <w:bCs w:val="1"/>
                <w:color w:val="auto"/>
                <w:w w:val="87"/>
              </w:rPr>
              <w:t>For the three months ended April 30,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5"/>
          </w:tcPr>
          <w:p>
            <w:pPr>
              <w:ind w:left="100"/>
              <w:spacing w:after="0"/>
              <w:rPr>
                <w:sz w:val="20"/>
                <w:szCs w:val="20"/>
                <w:color w:val="auto"/>
              </w:rPr>
            </w:pPr>
            <w:r>
              <w:rPr>
                <w:rFonts w:ascii="Arial" w:cs="Arial" w:eastAsia="Arial" w:hAnsi="Arial"/>
                <w:sz w:val="10"/>
                <w:szCs w:val="10"/>
                <w:b w:val="1"/>
                <w:bCs w:val="1"/>
                <w:color w:val="auto"/>
              </w:rPr>
              <w:t>For the nine months ended April 30,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281"/>
              <w:spacing w:after="0" w:line="88" w:lineRule="exact"/>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321"/>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321"/>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60"/>
              <w:spacing w:after="0"/>
              <w:rPr>
                <w:sz w:val="20"/>
                <w:szCs w:val="20"/>
                <w:color w:val="auto"/>
              </w:rPr>
            </w:pPr>
            <w:r>
              <w:rPr>
                <w:rFonts w:ascii="Arial" w:cs="Arial" w:eastAsia="Arial" w:hAnsi="Arial"/>
                <w:sz w:val="12"/>
                <w:szCs w:val="12"/>
                <w:color w:val="auto"/>
              </w:rPr>
              <w:t>Propane and other gas liquids sales</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542,036</w:t>
            </w:r>
          </w:p>
        </w:tc>
        <w:tc>
          <w:tcPr>
            <w:tcW w:w="10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391,745</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1,351,519</w:t>
            </w: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1,150,377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w:t>
            </w:r>
          </w:p>
        </w:tc>
        <w:tc>
          <w:tcPr>
            <w:tcW w:w="1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20,385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67,665</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Total revenues</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564,730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
              <w:spacing w:after="0" w:line="133" w:lineRule="exact"/>
              <w:rPr>
                <w:sz w:val="20"/>
                <w:szCs w:val="20"/>
                <w:color w:val="auto"/>
              </w:rPr>
            </w:pPr>
            <w:r>
              <w:rPr>
                <w:rFonts w:ascii="Arial" w:cs="Arial" w:eastAsia="Arial" w:hAnsi="Arial"/>
                <w:sz w:val="12"/>
                <w:szCs w:val="12"/>
                <w:color w:val="auto"/>
              </w:rPr>
              <w:t>412,130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1,419,184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1,216,177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b w:val="1"/>
                <w:bCs w:val="1"/>
                <w:color w:val="auto"/>
              </w:rPr>
              <w:t>Costs and expenses: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Cost of sales - propane and other gas liquids sales</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298,386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176,265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706,790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548,136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60"/>
              <w:spacing w:after="0"/>
              <w:rPr>
                <w:sz w:val="20"/>
                <w:szCs w:val="20"/>
                <w:color w:val="auto"/>
              </w:rPr>
            </w:pPr>
            <w:r>
              <w:rPr>
                <w:rFonts w:ascii="Arial" w:cs="Arial" w:eastAsia="Arial" w:hAnsi="Arial"/>
                <w:sz w:val="12"/>
                <w:szCs w:val="12"/>
                <w:color w:val="auto"/>
              </w:rPr>
              <w:t>Cost of sales - other</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2,985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2,740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10,156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Operating expense - personnel, vehicle, plant and other</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124,624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121,558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348,898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364,334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60"/>
              <w:spacing w:after="0"/>
              <w:rPr>
                <w:sz w:val="20"/>
                <w:szCs w:val="20"/>
                <w:color w:val="auto"/>
              </w:rPr>
            </w:pPr>
            <w:r>
              <w:rPr>
                <w:rFonts w:ascii="Arial" w:cs="Arial" w:eastAsia="Arial" w:hAnsi="Arial"/>
                <w:sz w:val="12"/>
                <w:szCs w:val="12"/>
                <w:color w:val="auto"/>
              </w:rPr>
              <w:t>Operating expense - equipment lease expense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6,770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8,075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20,462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Depreciation and amortization expense</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20,366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60"/>
              <w:spacing w:after="0"/>
              <w:rPr>
                <w:sz w:val="20"/>
                <w:szCs w:val="20"/>
                <w:color w:val="auto"/>
              </w:rPr>
            </w:pPr>
            <w:r>
              <w:rPr>
                <w:rFonts w:ascii="Arial" w:cs="Arial" w:eastAsia="Arial" w:hAnsi="Arial"/>
                <w:sz w:val="12"/>
                <w:szCs w:val="12"/>
                <w:color w:val="auto"/>
              </w:rPr>
              <w:t>General and administrative expense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15,203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12,555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48,533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36,336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Non-cash employee stock ownership plan compensation charge</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Loss on asset sales and disposals</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1,345</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1,859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2,238</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93,325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67,955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215,906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165,069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Interest expense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(42,189)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(38,006)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(135,239)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(113,573)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(107,968)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(107,968)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 (expense), net</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1,552</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b w:val="1"/>
                <w:bCs w:val="1"/>
                <w:color w:val="auto"/>
              </w:rPr>
              <w:t>Earnings (loss) before income taxes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(55,280)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(21,882)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b w:val="1"/>
                <w:bCs w:val="1"/>
                <w:color w:val="auto"/>
              </w:rPr>
              <w:t>Net earnings (loss)</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(55,473)</w:t>
            </w:r>
          </w:p>
        </w:tc>
        <w:tc>
          <w:tcPr>
            <w:tcW w:w="10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(7,720)</w:t>
            </w: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(22,474)</w:t>
            </w: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13,138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gridSpan w:val="2"/>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5880" w:type="dxa"/>
            <w:vAlign w:val="bottom"/>
            <w:gridSpan w:val="5"/>
          </w:tcPr>
          <w:p>
            <w:pPr>
              <w:jc w:val="center"/>
              <w:ind w:left="2980"/>
              <w:spacing w:after="0"/>
              <w:rPr>
                <w:sz w:val="20"/>
                <w:szCs w:val="20"/>
                <w:color w:val="auto"/>
              </w:rPr>
            </w:pPr>
            <w:r>
              <w:rPr>
                <w:rFonts w:ascii="Arial" w:cs="Arial" w:eastAsia="Arial" w:hAnsi="Arial"/>
                <w:sz w:val="12"/>
                <w:szCs w:val="12"/>
                <w:color w:val="auto"/>
                <w:w w:val="88"/>
              </w:rPr>
              <w:t>See notes to condensed consolidated financial statements.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60" w:type="dxa"/>
            <w:vAlign w:val="bottom"/>
          </w:tcPr>
          <w:p>
            <w:pPr>
              <w:jc w:val="right"/>
              <w:ind w:right="34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38" w:name="page39"/>
    <w:bookmarkEnd w:id="3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5"/>
          </w:tcPr>
          <w:p>
            <w:pPr>
              <w:ind w:left="20"/>
              <w:spacing w:after="0"/>
              <w:rPr>
                <w:sz w:val="20"/>
                <w:szCs w:val="20"/>
                <w:color w:val="auto"/>
              </w:rPr>
            </w:pPr>
            <w:r>
              <w:rPr>
                <w:rFonts w:ascii="Arial" w:cs="Arial" w:eastAsia="Arial" w:hAnsi="Arial"/>
                <w:sz w:val="10"/>
                <w:szCs w:val="10"/>
                <w:b w:val="1"/>
                <w:bCs w:val="1"/>
                <w:color w:val="auto"/>
              </w:rPr>
              <w:t>For the three months ended April 30,</w:t>
            </w:r>
          </w:p>
        </w:tc>
        <w:tc>
          <w:tcPr>
            <w:tcW w:w="160" w:type="dxa"/>
            <w:vAlign w:val="bottom"/>
          </w:tcPr>
          <w:p>
            <w:pPr>
              <w:spacing w:after="0"/>
              <w:rPr>
                <w:sz w:val="10"/>
                <w:szCs w:val="10"/>
                <w:color w:val="auto"/>
              </w:rPr>
            </w:pPr>
          </w:p>
        </w:tc>
        <w:tc>
          <w:tcPr>
            <w:tcW w:w="1920" w:type="dxa"/>
            <w:vAlign w:val="bottom"/>
            <w:gridSpan w:val="5"/>
          </w:tcPr>
          <w:p>
            <w:pPr>
              <w:ind w:left="10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494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63"/>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2"/>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860" w:type="dxa"/>
            <w:vAlign w:val="bottom"/>
            <w:tcBorders>
              <w:top w:val="single" w:sz="8" w:color="auto"/>
              <w:bottom w:val="single" w:sz="8" w:color="auto"/>
            </w:tcBorders>
          </w:tcPr>
          <w:p>
            <w:pPr>
              <w:jc w:val="right"/>
              <w:ind w:right="40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(55,473)</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(7,720)</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(22,474)</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13,138</w:t>
            </w:r>
          </w:p>
        </w:tc>
        <w:tc>
          <w:tcPr>
            <w:tcW w:w="40" w:type="dxa"/>
            <w:vAlign w:val="bottom"/>
            <w:shd w:val="clear" w:color="auto" w:fill="CCEEFF"/>
          </w:tcPr>
          <w:p>
            <w:pPr>
              <w:spacing w:after="0"/>
              <w:rPr>
                <w:sz w:val="12"/>
                <w:szCs w:val="12"/>
                <w:color w:val="auto"/>
              </w:rPr>
            </w:pPr>
          </w:p>
        </w:tc>
      </w:tr>
      <w:tr>
        <w:trPr>
          <w:trHeight w:val="144"/>
        </w:trPr>
        <w:tc>
          <w:tcPr>
            <w:tcW w:w="4940" w:type="dxa"/>
            <w:vAlign w:val="bottom"/>
          </w:tcPr>
          <w:p>
            <w:pPr>
              <w:spacing w:after="0"/>
              <w:rPr>
                <w:sz w:val="20"/>
                <w:szCs w:val="20"/>
                <w:color w:val="auto"/>
              </w:rPr>
            </w:pPr>
            <w:r>
              <w:rPr>
                <w:rFonts w:ascii="Arial" w:cs="Arial" w:eastAsia="Arial" w:hAnsi="Arial"/>
                <w:sz w:val="12"/>
                <w:szCs w:val="12"/>
                <w:b w:val="1"/>
                <w:bCs w:val="1"/>
                <w:color w:val="auto"/>
              </w:rPr>
              <w:t>Other comprehensive income (loss):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Change in value of risk management derivatives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(11,501)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63,170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(36,340)</w:t>
            </w:r>
          </w:p>
        </w:tc>
      </w:tr>
      <w:tr>
        <w:trPr>
          <w:trHeight w:val="144"/>
        </w:trPr>
        <w:tc>
          <w:tcPr>
            <w:tcW w:w="4940" w:type="dxa"/>
            <w:vAlign w:val="bottom"/>
          </w:tcPr>
          <w:p>
            <w:pPr>
              <w:ind w:left="60"/>
              <w:spacing w:after="0"/>
              <w:rPr>
                <w:sz w:val="20"/>
                <w:szCs w:val="20"/>
                <w:color w:val="auto"/>
              </w:rPr>
            </w:pPr>
            <w:r>
              <w:rPr>
                <w:rFonts w:ascii="Arial" w:cs="Arial" w:eastAsia="Arial" w:hAnsi="Arial"/>
                <w:sz w:val="12"/>
                <w:szCs w:val="12"/>
                <w:color w:val="auto"/>
              </w:rPr>
              <w:t>Reclassification of (gains) losses on derivatives to earnings, net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(22,383)</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14,073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(28,674)</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30,318</w:t>
            </w:r>
          </w:p>
        </w:tc>
        <w:tc>
          <w:tcPr>
            <w:tcW w:w="40" w:type="dxa"/>
            <w:vAlign w:val="bottom"/>
          </w:tcPr>
          <w:p>
            <w:pPr>
              <w:spacing w:after="0"/>
              <w:rPr>
                <w:sz w:val="12"/>
                <w:szCs w:val="12"/>
                <w:color w:val="auto"/>
              </w:rPr>
            </w:pPr>
          </w:p>
        </w:tc>
      </w:tr>
      <w:tr>
        <w:trPr>
          <w:trHeight w:val="144"/>
        </w:trPr>
        <w:tc>
          <w:tcPr>
            <w:tcW w:w="4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Pension liability adjustment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(109)</w:t>
            </w:r>
          </w:p>
        </w:tc>
      </w:tr>
      <w:tr>
        <w:trPr>
          <w:trHeight w:val="133"/>
        </w:trPr>
        <w:tc>
          <w:tcPr>
            <w:tcW w:w="49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Other comprehensive income (loss)</w:t>
            </w: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(1,937)</w:t>
            </w:r>
          </w:p>
        </w:tc>
        <w:tc>
          <w:tcPr>
            <w:tcW w:w="1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2,572</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34,496</w:t>
            </w:r>
          </w:p>
        </w:tc>
        <w:tc>
          <w:tcPr>
            <w:tcW w:w="14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(6,131)</w:t>
            </w:r>
          </w:p>
        </w:tc>
        <w:tc>
          <w:tcPr>
            <w:tcW w:w="40" w:type="dxa"/>
            <w:vAlign w:val="bottom"/>
            <w:tcBorders>
              <w:bottom w:val="single" w:sz="8" w:color="CCEEFF"/>
            </w:tcBorders>
          </w:tcPr>
          <w:p>
            <w:pPr>
              <w:spacing w:after="0"/>
              <w:rPr>
                <w:sz w:val="11"/>
                <w:szCs w:val="11"/>
                <w:color w:val="auto"/>
              </w:rPr>
            </w:pPr>
          </w:p>
        </w:tc>
      </w:tr>
      <w:tr>
        <w:trPr>
          <w:trHeight w:val="140"/>
        </w:trPr>
        <w:tc>
          <w:tcPr>
            <w:tcW w:w="49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(57,410)</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(5,148)</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12,022</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7,007</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9" w:name="page40"/>
    <w:bookmarkEnd w:id="3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FERRELLGAS, L.P.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CONDENSED CONSOLIDATED STATEMENT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(unaudited)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5"/>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5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7"/>
              </w:rPr>
              <w:t>other</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Total</w:t>
            </w:r>
          </w:p>
        </w:tc>
      </w:tr>
      <w:tr>
        <w:trPr>
          <w:trHeight w:val="99"/>
        </w:trPr>
        <w:tc>
          <w:tcPr>
            <w:tcW w:w="5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3"/>
          </w:tcPr>
          <w:p>
            <w:pPr>
              <w:ind w:left="100"/>
              <w:spacing w:after="0" w:line="99" w:lineRule="exact"/>
              <w:rPr>
                <w:sz w:val="20"/>
                <w:szCs w:val="20"/>
                <w:color w:val="auto"/>
              </w:rPr>
            </w:pPr>
            <w:r>
              <w:rPr>
                <w:rFonts w:ascii="Arial" w:cs="Arial" w:eastAsia="Arial" w:hAnsi="Arial"/>
                <w:sz w:val="10"/>
                <w:szCs w:val="10"/>
                <w:b w:val="1"/>
                <w:bCs w:val="1"/>
                <w:color w:val="auto"/>
              </w:rPr>
              <w:t>Limited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ind w:left="60"/>
              <w:spacing w:after="0" w:line="99" w:lineRule="exact"/>
              <w:rPr>
                <w:sz w:val="20"/>
                <w:szCs w:val="20"/>
                <w:color w:val="auto"/>
              </w:rPr>
            </w:pPr>
            <w:r>
              <w:rPr>
                <w:rFonts w:ascii="Arial" w:cs="Arial" w:eastAsia="Arial" w:hAnsi="Arial"/>
                <w:sz w:val="10"/>
                <w:szCs w:val="10"/>
                <w:b w:val="1"/>
                <w:bCs w:val="1"/>
                <w:color w:val="auto"/>
              </w:rPr>
              <w:t>General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comprehensive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8"/>
              </w:rPr>
              <w:t>partners’</w:t>
            </w:r>
          </w:p>
        </w:tc>
      </w:tr>
      <w:tr>
        <w:trPr>
          <w:trHeight w:val="113"/>
        </w:trPr>
        <w:tc>
          <w:tcPr>
            <w:tcW w:w="5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3"/>
          </w:tcPr>
          <w:p>
            <w:pPr>
              <w:ind w:left="100"/>
              <w:spacing w:after="0" w:line="114" w:lineRule="exact"/>
              <w:rPr>
                <w:sz w:val="20"/>
                <w:szCs w:val="20"/>
                <w:color w:val="auto"/>
              </w:rPr>
            </w:pPr>
            <w:r>
              <w:rPr>
                <w:rFonts w:ascii="Arial" w:cs="Arial" w:eastAsia="Arial" w:hAnsi="Arial"/>
                <w:sz w:val="10"/>
                <w:szCs w:val="10"/>
                <w:b w:val="1"/>
                <w:bCs w:val="1"/>
                <w:color w:val="auto"/>
              </w:rPr>
              <w:t>partner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ind w:left="80"/>
              <w:spacing w:after="0" w:line="114" w:lineRule="exact"/>
              <w:rPr>
                <w:sz w:val="20"/>
                <w:szCs w:val="20"/>
                <w:color w:val="auto"/>
              </w:rPr>
            </w:pPr>
            <w:r>
              <w:rPr>
                <w:rFonts w:ascii="Arial" w:cs="Arial" w:eastAsia="Arial" w:hAnsi="Arial"/>
                <w:sz w:val="10"/>
                <w:szCs w:val="10"/>
                <w:b w:val="1"/>
                <w:bCs w:val="1"/>
                <w:color w:val="auto"/>
              </w:rPr>
              <w:t>partner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3"/>
              </w:rPr>
              <w:t>income (loss)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equity</w:t>
            </w:r>
          </w:p>
        </w:tc>
      </w:tr>
      <w:tr>
        <w:trPr>
          <w:trHeight w:val="133"/>
        </w:trPr>
        <w:tc>
          <w:tcPr>
            <w:tcW w:w="5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July 31, 2020</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(821,462)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(8,216)</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(2,313)</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(831,991)</w:t>
            </w:r>
          </w:p>
        </w:tc>
        <w:tc>
          <w:tcPr>
            <w:tcW w:w="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708</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(38,360)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(38,751)</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7,917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7,917</w:t>
            </w:r>
          </w:p>
        </w:tc>
        <w:tc>
          <w:tcPr>
            <w:tcW w:w="20" w:type="dxa"/>
            <w:vAlign w:val="bottom"/>
          </w:tcPr>
          <w:p>
            <w:pPr>
              <w:spacing w:after="0"/>
              <w:rPr>
                <w:sz w:val="12"/>
                <w:szCs w:val="12"/>
                <w:color w:val="auto"/>
              </w:rPr>
            </w:pPr>
          </w:p>
        </w:tc>
      </w:tr>
      <w:tr>
        <w:trPr>
          <w:trHeight w:val="133"/>
        </w:trPr>
        <w:tc>
          <w:tcPr>
            <w:tcW w:w="5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October 31, 2020</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(859,121)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(8,600)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5,604</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(862,117)</w:t>
            </w:r>
          </w:p>
        </w:tc>
        <w:tc>
          <w:tcPr>
            <w:tcW w:w="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762</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71,750</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28,516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28,516</w:t>
            </w:r>
          </w:p>
        </w:tc>
        <w:tc>
          <w:tcPr>
            <w:tcW w:w="20" w:type="dxa"/>
            <w:vAlign w:val="bottom"/>
          </w:tcPr>
          <w:p>
            <w:pPr>
              <w:spacing w:after="0"/>
              <w:rPr>
                <w:sz w:val="12"/>
                <w:szCs w:val="12"/>
                <w:color w:val="auto"/>
              </w:rPr>
            </w:pPr>
          </w:p>
        </w:tc>
      </w:tr>
      <w:tr>
        <w:trPr>
          <w:trHeight w:val="133"/>
        </w:trPr>
        <w:tc>
          <w:tcPr>
            <w:tcW w:w="5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January 31, 2021</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(787,341)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(7,868)</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34,120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(761,089)</w:t>
            </w:r>
          </w:p>
        </w:tc>
        <w:tc>
          <w:tcPr>
            <w:tcW w:w="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811</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Net earnings allocated to preferred units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(8,011)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(8,011)</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(54,832)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2"/>
                <w:szCs w:val="12"/>
                <w:color w:val="auto"/>
              </w:rPr>
              <w:t>(641)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(55,473)</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(1,937)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w:t>
            </w:r>
          </w:p>
        </w:tc>
        <w:tc>
          <w:tcPr>
            <w:tcW w:w="20" w:type="dxa"/>
            <w:vAlign w:val="bottom"/>
          </w:tcPr>
          <w:p>
            <w:pPr>
              <w:spacing w:after="0"/>
              <w:rPr>
                <w:sz w:val="12"/>
                <w:szCs w:val="12"/>
                <w:color w:val="auto"/>
              </w:rPr>
            </w:pPr>
          </w:p>
        </w:tc>
      </w:tr>
      <w:tr>
        <w:trPr>
          <w:trHeight w:val="140"/>
        </w:trPr>
        <w:tc>
          <w:tcPr>
            <w:tcW w:w="518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April 30, 2021</w:t>
            </w: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(849,381)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(8,501)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32,183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(825,699)</w:t>
            </w:r>
          </w:p>
        </w:tc>
        <w:tc>
          <w:tcPr>
            <w:tcW w:w="20" w:type="dxa"/>
            <w:vAlign w:val="bottom"/>
          </w:tcPr>
          <w:p>
            <w:pPr>
              <w:spacing w:after="0"/>
              <w:rPr>
                <w:sz w:val="12"/>
                <w:szCs w:val="12"/>
                <w:color w:val="auto"/>
              </w:rPr>
            </w:pPr>
          </w:p>
        </w:tc>
      </w:tr>
      <w:tr>
        <w:trPr>
          <w:trHeight w:val="307"/>
        </w:trPr>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9"/>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79"/>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Total</w:t>
            </w:r>
          </w:p>
        </w:tc>
      </w:tr>
      <w:tr>
        <w:trPr>
          <w:trHeight w:val="144"/>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100"/>
              <w:spacing w:after="0"/>
              <w:rPr>
                <w:sz w:val="20"/>
                <w:szCs w:val="20"/>
                <w:color w:val="auto"/>
              </w:rPr>
            </w:pPr>
            <w:r>
              <w:rPr>
                <w:rFonts w:ascii="Arial" w:cs="Arial" w:eastAsia="Arial" w:hAnsi="Arial"/>
                <w:sz w:val="10"/>
                <w:szCs w:val="10"/>
                <w:b w:val="1"/>
                <w:bCs w:val="1"/>
                <w:color w:val="auto"/>
              </w:rPr>
              <w:t>Limited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General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1"/>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partners’</w:t>
            </w:r>
          </w:p>
        </w:tc>
      </w:tr>
      <w:tr>
        <w:trPr>
          <w:trHeight w:val="134"/>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100"/>
              <w:spacing w:after="0"/>
              <w:rPr>
                <w:sz w:val="20"/>
                <w:szCs w:val="20"/>
                <w:color w:val="auto"/>
              </w:rPr>
            </w:pPr>
            <w:r>
              <w:rPr>
                <w:rFonts w:ascii="Arial" w:cs="Arial" w:eastAsia="Arial" w:hAnsi="Arial"/>
                <w:sz w:val="10"/>
                <w:szCs w:val="10"/>
                <w:b w:val="1"/>
                <w:bCs w:val="1"/>
                <w:color w:val="auto"/>
              </w:rPr>
              <w:t>partner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partner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7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equity</w:t>
            </w:r>
          </w:p>
        </w:tc>
      </w:tr>
      <w:tr>
        <w:trPr>
          <w:trHeight w:val="133"/>
        </w:trPr>
        <w:tc>
          <w:tcPr>
            <w:tcW w:w="5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July 31, 2019</w:t>
            </w:r>
          </w:p>
        </w:tc>
        <w:tc>
          <w:tcPr>
            <w:tcW w:w="180" w:type="dxa"/>
            <w:vAlign w:val="bottom"/>
            <w:tcBorders>
              <w:top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(758,186)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(7,570)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(14,647)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(780,403)</w:t>
            </w:r>
          </w:p>
        </w:tc>
        <w:tc>
          <w:tcPr>
            <w:tcW w:w="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795</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Cumulative adjustment for lease accounting standard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Distributions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(101)</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(36,525)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(36,898)</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(6,148)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(6,148)</w:t>
            </w:r>
          </w:p>
        </w:tc>
        <w:tc>
          <w:tcPr>
            <w:tcW w:w="20" w:type="dxa"/>
            <w:vAlign w:val="bottom"/>
          </w:tcPr>
          <w:p>
            <w:pPr>
              <w:spacing w:after="0"/>
              <w:rPr>
                <w:sz w:val="12"/>
                <w:szCs w:val="12"/>
                <w:color w:val="auto"/>
              </w:rPr>
            </w:pPr>
          </w:p>
        </w:tc>
      </w:tr>
      <w:tr>
        <w:trPr>
          <w:trHeight w:val="133"/>
        </w:trPr>
        <w:tc>
          <w:tcPr>
            <w:tcW w:w="5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October 31, 2019</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(795,385)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(7,950)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(20,795)</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(824,130)</w:t>
            </w:r>
          </w:p>
        </w:tc>
        <w:tc>
          <w:tcPr>
            <w:tcW w:w="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630</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Distributions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(15,396)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(15,553)</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Net earnings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57,172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57,756</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(2,555)</w:t>
            </w:r>
          </w:p>
        </w:tc>
        <w:tc>
          <w:tcPr>
            <w:tcW w:w="20" w:type="dxa"/>
            <w:vAlign w:val="bottom"/>
          </w:tcPr>
          <w:p>
            <w:pPr>
              <w:spacing w:after="0"/>
              <w:rPr>
                <w:sz w:val="12"/>
                <w:szCs w:val="12"/>
                <w:color w:val="auto"/>
              </w:rPr>
            </w:pPr>
          </w:p>
        </w:tc>
      </w:tr>
      <w:tr>
        <w:trPr>
          <w:trHeight w:val="133"/>
        </w:trPr>
        <w:tc>
          <w:tcPr>
            <w:tcW w:w="518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January 31, 2020</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(752,985)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(7,517)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(23,350)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(783,852)</w:t>
            </w:r>
          </w:p>
        </w:tc>
        <w:tc>
          <w:tcPr>
            <w:tcW w:w="20" w:type="dxa"/>
            <w:vAlign w:val="bottom"/>
          </w:tcPr>
          <w:p>
            <w:pPr>
              <w:spacing w:after="0"/>
              <w:rPr>
                <w:sz w:val="11"/>
                <w:szCs w:val="11"/>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Contributions in connection with non-cash ESOP compensation charges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20" w:type="dxa"/>
            <w:vAlign w:val="bottom"/>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(7,642)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(7,720)</w:t>
            </w:r>
          </w:p>
        </w:tc>
        <w:tc>
          <w:tcPr>
            <w:tcW w:w="20" w:type="dxa"/>
            <w:vAlign w:val="bottom"/>
          </w:tcPr>
          <w:p>
            <w:pPr>
              <w:spacing w:after="0"/>
              <w:rPr>
                <w:sz w:val="12"/>
                <w:szCs w:val="12"/>
                <w:color w:val="auto"/>
              </w:rPr>
            </w:pP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2,572</w:t>
            </w:r>
          </w:p>
        </w:tc>
        <w:tc>
          <w:tcPr>
            <w:tcW w:w="20" w:type="dxa"/>
            <w:vAlign w:val="bottom"/>
          </w:tcPr>
          <w:p>
            <w:pPr>
              <w:spacing w:after="0"/>
              <w:rPr>
                <w:sz w:val="12"/>
                <w:szCs w:val="12"/>
                <w:color w:val="auto"/>
              </w:rPr>
            </w:pPr>
          </w:p>
        </w:tc>
      </w:tr>
      <w:tr>
        <w:trPr>
          <w:trHeight w:val="140"/>
        </w:trPr>
        <w:tc>
          <w:tcPr>
            <w:tcW w:w="518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April 30, 2020</w:t>
            </w:r>
          </w:p>
        </w:tc>
        <w:tc>
          <w:tcPr>
            <w:tcW w:w="1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(759,878)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(20,778)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(788,243)</w:t>
            </w:r>
          </w:p>
        </w:tc>
        <w:tc>
          <w:tcPr>
            <w:tcW w:w="20" w:type="dxa"/>
            <w:vAlign w:val="bottom"/>
          </w:tcPr>
          <w:p>
            <w:pPr>
              <w:spacing w:after="0"/>
              <w:rPr>
                <w:sz w:val="12"/>
                <w:szCs w:val="12"/>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0" w:name="page41"/>
    <w:bookmarkEnd w:id="4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L.P.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86"/>
              </w:rPr>
              <w:t>For the nine months ended April 30,</w:t>
            </w:r>
          </w:p>
        </w:tc>
      </w:tr>
      <w:tr>
        <w:trPr>
          <w:trHeight w:val="88"/>
        </w:trPr>
        <w:tc>
          <w:tcPr>
            <w:tcW w:w="646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361"/>
              <w:spacing w:after="0" w:line="88"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top w:val="single" w:sz="8" w:color="auto"/>
              <w:bottom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jc w:val="right"/>
              <w:ind w:right="500"/>
              <w:spacing w:after="0" w:line="88"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7"/>
                <w:szCs w:val="7"/>
                <w:color w:val="auto"/>
              </w:rPr>
            </w:pPr>
          </w:p>
        </w:tc>
      </w:tr>
      <w:tr>
        <w:trPr>
          <w:trHeight w:val="133"/>
        </w:trPr>
        <w:tc>
          <w:tcPr>
            <w:tcW w:w="64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Net earnings (loss)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(22,474)</w:t>
            </w:r>
          </w:p>
        </w:tc>
        <w:tc>
          <w:tcPr>
            <w:tcW w:w="300" w:type="dxa"/>
            <w:vAlign w:val="bottom"/>
          </w:tcPr>
          <w:p>
            <w:pPr>
              <w:jc w:val="center"/>
              <w:ind w:right="1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13,138</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Reconciliation of net earnings (loss) to net cash provided by operating activities:</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60" w:type="dxa"/>
            <w:vAlign w:val="bottom"/>
          </w:tcPr>
          <w:p>
            <w:pPr>
              <w:ind w:left="140"/>
              <w:spacing w:after="0"/>
              <w:rPr>
                <w:sz w:val="20"/>
                <w:szCs w:val="20"/>
                <w:color w:val="auto"/>
              </w:rPr>
            </w:pPr>
            <w:r>
              <w:rPr>
                <w:rFonts w:ascii="Arial" w:cs="Arial" w:eastAsia="Arial" w:hAnsi="Arial"/>
                <w:sz w:val="12"/>
                <w:szCs w:val="12"/>
                <w:color w:val="auto"/>
              </w:rPr>
              <w:t>Depreciation and amortization expense</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63,920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59,380</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Non-cash employee stock ownership plan compensation charge</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w:t>
            </w:r>
          </w:p>
        </w:tc>
        <w:tc>
          <w:tcPr>
            <w:tcW w:w="20" w:type="dxa"/>
            <w:vAlign w:val="bottom"/>
          </w:tcPr>
          <w:p>
            <w:pPr>
              <w:spacing w:after="0"/>
              <w:rPr>
                <w:sz w:val="12"/>
                <w:szCs w:val="12"/>
                <w:color w:val="auto"/>
              </w:rPr>
            </w:pPr>
          </w:p>
        </w:tc>
      </w:tr>
      <w:tr>
        <w:trPr>
          <w:trHeight w:val="144"/>
        </w:trPr>
        <w:tc>
          <w:tcPr>
            <w:tcW w:w="6460" w:type="dxa"/>
            <w:vAlign w:val="bottom"/>
          </w:tcPr>
          <w:p>
            <w:pPr>
              <w:ind w:left="140"/>
              <w:spacing w:after="0"/>
              <w:rPr>
                <w:sz w:val="20"/>
                <w:szCs w:val="20"/>
                <w:color w:val="auto"/>
              </w:rPr>
            </w:pPr>
            <w:r>
              <w:rPr>
                <w:rFonts w:ascii="Arial" w:cs="Arial" w:eastAsia="Arial" w:hAnsi="Arial"/>
                <w:sz w:val="12"/>
                <w:szCs w:val="12"/>
                <w:color w:val="auto"/>
              </w:rPr>
              <w:t>Loss on asset sales and disposals</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2,238</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6,242</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on extinguishment of debt</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107,968</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c>
          <w:tcPr>
            <w:tcW w:w="20" w:type="dxa"/>
            <w:vAlign w:val="bottom"/>
          </w:tcPr>
          <w:p>
            <w:pPr>
              <w:spacing w:after="0"/>
              <w:rPr>
                <w:sz w:val="12"/>
                <w:szCs w:val="12"/>
                <w:color w:val="auto"/>
              </w:rPr>
            </w:pPr>
          </w:p>
        </w:tc>
      </w:tr>
      <w:tr>
        <w:trPr>
          <w:trHeight w:val="144"/>
        </w:trPr>
        <w:tc>
          <w:tcPr>
            <w:tcW w:w="6460" w:type="dxa"/>
            <w:vAlign w:val="bottom"/>
          </w:tcPr>
          <w:p>
            <w:pPr>
              <w:ind w:left="140"/>
              <w:spacing w:after="0"/>
              <w:rPr>
                <w:sz w:val="20"/>
                <w:szCs w:val="20"/>
                <w:color w:val="auto"/>
              </w:rPr>
            </w:pPr>
            <w:r>
              <w:rPr>
                <w:rFonts w:ascii="Arial" w:cs="Arial" w:eastAsia="Arial" w:hAnsi="Arial"/>
                <w:sz w:val="12"/>
                <w:szCs w:val="12"/>
                <w:color w:val="auto"/>
              </w:rPr>
              <w:t>Provision for expected credit losses</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3,479</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1,586</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 expense</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20" w:type="dxa"/>
            <w:vAlign w:val="bottom"/>
          </w:tcPr>
          <w:p>
            <w:pPr>
              <w:spacing w:after="0"/>
              <w:rPr>
                <w:sz w:val="12"/>
                <w:szCs w:val="12"/>
                <w:color w:val="auto"/>
              </w:rPr>
            </w:pPr>
          </w:p>
        </w:tc>
      </w:tr>
      <w:tr>
        <w:trPr>
          <w:trHeight w:val="144"/>
        </w:trPr>
        <w:tc>
          <w:tcPr>
            <w:tcW w:w="6460" w:type="dxa"/>
            <w:vAlign w:val="bottom"/>
          </w:tcPr>
          <w:p>
            <w:pPr>
              <w:ind w:left="140"/>
              <w:spacing w:after="0"/>
              <w:rPr>
                <w:sz w:val="20"/>
                <w:szCs w:val="20"/>
                <w:color w:val="auto"/>
              </w:rPr>
            </w:pPr>
            <w:r>
              <w:rPr>
                <w:rFonts w:ascii="Arial" w:cs="Arial" w:eastAsia="Arial" w:hAnsi="Arial"/>
                <w:sz w:val="12"/>
                <w:szCs w:val="12"/>
                <w:color w:val="auto"/>
              </w:rPr>
              <w:t>Other</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6,524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7,555</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Changes in operating assets and liabilities, net of effects from business acquisitions:</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60" w:type="dxa"/>
            <w:vAlign w:val="bottom"/>
          </w:tcPr>
          <w:p>
            <w:pPr>
              <w:ind w:left="220"/>
              <w:spacing w:after="0"/>
              <w:rPr>
                <w:sz w:val="20"/>
                <w:szCs w:val="20"/>
                <w:color w:val="auto"/>
              </w:rPr>
            </w:pPr>
            <w:r>
              <w:rPr>
                <w:rFonts w:ascii="Arial" w:cs="Arial" w:eastAsia="Arial" w:hAnsi="Arial"/>
                <w:sz w:val="12"/>
                <w:szCs w:val="12"/>
                <w:color w:val="auto"/>
              </w:rPr>
              <w:t>Accounts and notes receivable, net of securitization</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(72,557)</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(26,942)</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Inventories</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15,245</w:t>
            </w:r>
          </w:p>
        </w:tc>
        <w:tc>
          <w:tcPr>
            <w:tcW w:w="20" w:type="dxa"/>
            <w:vAlign w:val="bottom"/>
          </w:tcPr>
          <w:p>
            <w:pPr>
              <w:spacing w:after="0"/>
              <w:rPr>
                <w:sz w:val="12"/>
                <w:szCs w:val="12"/>
                <w:color w:val="auto"/>
              </w:rPr>
            </w:pPr>
          </w:p>
        </w:tc>
      </w:tr>
      <w:tr>
        <w:trPr>
          <w:trHeight w:val="144"/>
        </w:trPr>
        <w:tc>
          <w:tcPr>
            <w:tcW w:w="646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(11,300)</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(6,704)</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4,236</w:t>
            </w:r>
          </w:p>
        </w:tc>
        <w:tc>
          <w:tcPr>
            <w:tcW w:w="20" w:type="dxa"/>
            <w:vAlign w:val="bottom"/>
          </w:tcPr>
          <w:p>
            <w:pPr>
              <w:spacing w:after="0"/>
              <w:rPr>
                <w:sz w:val="12"/>
                <w:szCs w:val="12"/>
                <w:color w:val="auto"/>
              </w:rPr>
            </w:pPr>
          </w:p>
        </w:tc>
      </w:tr>
      <w:tr>
        <w:trPr>
          <w:trHeight w:val="144"/>
        </w:trPr>
        <w:tc>
          <w:tcPr>
            <w:tcW w:w="6460" w:type="dxa"/>
            <w:vAlign w:val="bottom"/>
          </w:tcPr>
          <w:p>
            <w:pPr>
              <w:ind w:left="220"/>
              <w:spacing w:after="0"/>
              <w:rPr>
                <w:sz w:val="20"/>
                <w:szCs w:val="20"/>
                <w:color w:val="auto"/>
              </w:rPr>
            </w:pPr>
            <w:r>
              <w:rPr>
                <w:rFonts w:ascii="Arial" w:cs="Arial" w:eastAsia="Arial" w:hAnsi="Arial"/>
                <w:sz w:val="12"/>
                <w:szCs w:val="12"/>
                <w:color w:val="auto"/>
              </w:rPr>
              <w:t>Accrued interest expense</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(26,757)</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25,010</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liabilities</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28,099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(7,949)</w:t>
            </w:r>
          </w:p>
        </w:tc>
        <w:tc>
          <w:tcPr>
            <w:tcW w:w="20" w:type="dxa"/>
            <w:vAlign w:val="bottom"/>
          </w:tcPr>
          <w:p>
            <w:pPr>
              <w:spacing w:after="0"/>
              <w:rPr>
                <w:sz w:val="12"/>
                <w:szCs w:val="12"/>
                <w:color w:val="auto"/>
              </w:rPr>
            </w:pPr>
          </w:p>
        </w:tc>
      </w:tr>
      <w:tr>
        <w:trPr>
          <w:trHeight w:val="144"/>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assets and liabilities</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5,401</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c>
          <w:tcPr>
            <w:tcW w:w="20" w:type="dxa"/>
            <w:vAlign w:val="bottom"/>
          </w:tcPr>
          <w:p>
            <w:pPr>
              <w:spacing w:after="0"/>
              <w:rPr>
                <w:sz w:val="12"/>
                <w:szCs w:val="12"/>
                <w:color w:val="auto"/>
              </w:rPr>
            </w:pPr>
          </w:p>
        </w:tc>
      </w:tr>
      <w:tr>
        <w:trPr>
          <w:trHeight w:val="133"/>
        </w:trPr>
        <w:tc>
          <w:tcPr>
            <w:tcW w:w="646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110,264</w:t>
            </w: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131,295</w:t>
            </w:r>
          </w:p>
        </w:tc>
        <w:tc>
          <w:tcPr>
            <w:tcW w:w="20" w:type="dxa"/>
            <w:vAlign w:val="bottom"/>
          </w:tcPr>
          <w:p>
            <w:pPr>
              <w:spacing w:after="0"/>
              <w:rPr>
                <w:sz w:val="11"/>
                <w:szCs w:val="11"/>
                <w:color w:val="auto"/>
              </w:rPr>
            </w:pPr>
          </w:p>
        </w:tc>
      </w:tr>
      <w:tr>
        <w:trPr>
          <w:trHeight w:val="88"/>
        </w:trPr>
        <w:tc>
          <w:tcPr>
            <w:tcW w:w="6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Business acquisitions, net of cash acquired</w:t>
            </w:r>
          </w:p>
        </w:tc>
        <w:tc>
          <w:tcPr>
            <w:tcW w:w="2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(6,400)</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 expenditures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(50,470)</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(57,251)</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Proceeds from sale of assets</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3,707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2,510</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payments to construct assets in connection with future lease transactions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(603)</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(37,042)</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Cash receipts in connection with leased vehicles</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391</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21,995</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 to Ferrellgas Partners, L.P.</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(23,808)</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33"/>
        </w:trPr>
        <w:tc>
          <w:tcPr>
            <w:tcW w:w="6460" w:type="dxa"/>
            <w:vAlign w:val="bottom"/>
            <w:tcBorders>
              <w:bottom w:val="single" w:sz="8" w:color="CCEEFF"/>
            </w:tcBorders>
          </w:tcPr>
          <w:p>
            <w:pPr>
              <w:ind w:left="300"/>
              <w:spacing w:after="0" w:line="133" w:lineRule="exact"/>
              <w:rPr>
                <w:sz w:val="20"/>
                <w:szCs w:val="20"/>
                <w:color w:val="auto"/>
              </w:rPr>
            </w:pPr>
            <w:r>
              <w:rPr>
                <w:rFonts w:ascii="Arial" w:cs="Arial" w:eastAsia="Arial" w:hAnsi="Arial"/>
                <w:sz w:val="12"/>
                <w:szCs w:val="12"/>
                <w:color w:val="auto"/>
              </w:rPr>
              <w:t>Net cash used in investing activities</w:t>
            </w: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(70,783)</w:t>
            </w: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(76,188)</w:t>
            </w:r>
          </w:p>
        </w:tc>
        <w:tc>
          <w:tcPr>
            <w:tcW w:w="20" w:type="dxa"/>
            <w:vAlign w:val="bottom"/>
          </w:tcPr>
          <w:p>
            <w:pPr>
              <w:spacing w:after="0"/>
              <w:rPr>
                <w:sz w:val="11"/>
                <w:szCs w:val="11"/>
                <w:color w:val="auto"/>
              </w:rPr>
            </w:pPr>
          </w:p>
        </w:tc>
      </w:tr>
      <w:tr>
        <w:trPr>
          <w:trHeight w:val="88"/>
        </w:trPr>
        <w:tc>
          <w:tcPr>
            <w:tcW w:w="6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64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Distributions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(15,654)</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Proceeds from sale of preferred units, net of issue discount and offering costs</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670,429</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issuance of long-term debt</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1,475,000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703,750</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Payments on long-term debt</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(1,540)</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(1,422)</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 for settlement and early extinguishment of liabilities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(2,175,000)</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(283,863)</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Payment of redemption premium on debt extinguishment</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(83,072)</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(17,516)</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reductions in short-term borrowings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(43,000)</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Cash payments for principal portion of finance lease liability</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(5,282)</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(944)</w:t>
            </w:r>
          </w:p>
        </w:tc>
        <w:tc>
          <w:tcPr>
            <w:tcW w:w="20" w:type="dxa"/>
            <w:vAlign w:val="bottom"/>
          </w:tcPr>
          <w:p>
            <w:pPr>
              <w:spacing w:after="0"/>
              <w:rPr>
                <w:sz w:val="12"/>
                <w:szCs w:val="12"/>
                <w:color w:val="auto"/>
              </w:rPr>
            </w:pPr>
          </w:p>
        </w:tc>
      </w:tr>
      <w:tr>
        <w:trPr>
          <w:trHeight w:val="144"/>
        </w:trPr>
        <w:tc>
          <w:tcPr>
            <w:tcW w:w="6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additions to collateralized short-term borrowings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(62,000)</w:t>
            </w:r>
          </w:p>
        </w:tc>
        <w:tc>
          <w:tcPr>
            <w:tcW w:w="20" w:type="dxa"/>
            <w:vAlign w:val="bottom"/>
          </w:tcPr>
          <w:p>
            <w:pPr>
              <w:spacing w:after="0"/>
              <w:rPr>
                <w:sz w:val="12"/>
                <w:szCs w:val="12"/>
                <w:color w:val="auto"/>
              </w:rPr>
            </w:pPr>
          </w:p>
        </w:tc>
      </w:tr>
      <w:tr>
        <w:trPr>
          <w:trHeight w:val="144"/>
        </w:trPr>
        <w:tc>
          <w:tcPr>
            <w:tcW w:w="6460" w:type="dxa"/>
            <w:vAlign w:val="bottom"/>
          </w:tcPr>
          <w:p>
            <w:pPr>
              <w:ind w:left="80"/>
              <w:spacing w:after="0"/>
              <w:rPr>
                <w:sz w:val="20"/>
                <w:szCs w:val="20"/>
                <w:color w:val="auto"/>
              </w:rPr>
            </w:pPr>
            <w:r>
              <w:rPr>
                <w:rFonts w:ascii="Arial" w:cs="Arial" w:eastAsia="Arial" w:hAnsi="Arial"/>
                <w:sz w:val="12"/>
                <w:szCs w:val="12"/>
                <w:color w:val="auto"/>
              </w:rPr>
              <w:t>Cash paid for financing costs</w:t>
            </w:r>
          </w:p>
        </w:tc>
        <w:tc>
          <w:tcPr>
            <w:tcW w:w="2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(43,520)</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(26,667)</w:t>
            </w:r>
          </w:p>
        </w:tc>
        <w:tc>
          <w:tcPr>
            <w:tcW w:w="20" w:type="dxa"/>
            <w:vAlign w:val="bottom"/>
          </w:tcPr>
          <w:p>
            <w:pPr>
              <w:spacing w:after="0"/>
              <w:rPr>
                <w:sz w:val="12"/>
                <w:szCs w:val="12"/>
                <w:color w:val="auto"/>
              </w:rPr>
            </w:pPr>
          </w:p>
        </w:tc>
      </w:tr>
      <w:tr>
        <w:trPr>
          <w:trHeight w:val="133"/>
        </w:trPr>
        <w:tc>
          <w:tcPr>
            <w:tcW w:w="6460" w:type="dxa"/>
            <w:vAlign w:val="bottom"/>
            <w:tcBorders>
              <w:top w:val="single" w:sz="8" w:color="CCEEFF"/>
            </w:tcBorders>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(162,985)</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252,684</w:t>
            </w:r>
          </w:p>
        </w:tc>
        <w:tc>
          <w:tcPr>
            <w:tcW w:w="20" w:type="dxa"/>
            <w:vAlign w:val="bottom"/>
          </w:tcPr>
          <w:p>
            <w:pPr>
              <w:spacing w:after="0"/>
              <w:rPr>
                <w:sz w:val="11"/>
                <w:szCs w:val="11"/>
                <w:color w:val="auto"/>
              </w:rPr>
            </w:pPr>
          </w:p>
        </w:tc>
      </w:tr>
      <w:tr>
        <w:trPr>
          <w:trHeight w:val="88"/>
        </w:trPr>
        <w:tc>
          <w:tcPr>
            <w:tcW w:w="6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 and cash equivalents</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(123,504)</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307,791</w:t>
            </w:r>
          </w:p>
        </w:tc>
        <w:tc>
          <w:tcPr>
            <w:tcW w:w="20" w:type="dxa"/>
            <w:vAlign w:val="bottom"/>
          </w:tcPr>
          <w:p>
            <w:pPr>
              <w:spacing w:after="0"/>
              <w:rPr>
                <w:sz w:val="12"/>
                <w:szCs w:val="12"/>
                <w:color w:val="auto"/>
              </w:rPr>
            </w:pPr>
          </w:p>
        </w:tc>
      </w:tr>
      <w:tr>
        <w:trPr>
          <w:trHeight w:val="133"/>
        </w:trPr>
        <w:tc>
          <w:tcPr>
            <w:tcW w:w="64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Cash and cash equivalents - beginning of period</w:t>
            </w: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333,755</w:t>
            </w: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11,046</w:t>
            </w:r>
          </w:p>
        </w:tc>
        <w:tc>
          <w:tcPr>
            <w:tcW w:w="20" w:type="dxa"/>
            <w:vAlign w:val="bottom"/>
          </w:tcPr>
          <w:p>
            <w:pPr>
              <w:spacing w:after="0"/>
              <w:rPr>
                <w:sz w:val="11"/>
                <w:szCs w:val="11"/>
                <w:color w:val="auto"/>
              </w:rPr>
            </w:pPr>
          </w:p>
        </w:tc>
      </w:tr>
      <w:tr>
        <w:trPr>
          <w:trHeight w:val="140"/>
        </w:trPr>
        <w:tc>
          <w:tcPr>
            <w:tcW w:w="64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cash equivalents and restricted cash - end of period</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210,251</w:t>
            </w: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center"/>
              <w:ind w:right="18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318,837</w:t>
            </w:r>
          </w:p>
        </w:tc>
        <w:tc>
          <w:tcPr>
            <w:tcW w:w="20" w:type="dxa"/>
            <w:vAlign w:val="bottom"/>
          </w:tcPr>
          <w:p>
            <w:pPr>
              <w:spacing w:after="0"/>
              <w:rPr>
                <w:sz w:val="12"/>
                <w:szCs w:val="12"/>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1" w:name="page42"/>
    <w:bookmarkEnd w:id="4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FERRELLGAS, L.P.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unless otherwise designated)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ind w:left="260" w:hanging="238"/>
        <w:spacing w:after="0"/>
        <w:tabs>
          <w:tab w:leader="none" w:pos="26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Partnership organization and formation</w:t>
      </w:r>
    </w:p>
    <w:p>
      <w:pPr>
        <w:spacing w:after="0" w:line="154" w:lineRule="exact"/>
        <w:rPr>
          <w:sz w:val="20"/>
          <w:szCs w:val="20"/>
          <w:color w:val="auto"/>
        </w:rPr>
      </w:pPr>
    </w:p>
    <w:p>
      <w:pPr>
        <w:ind w:left="20" w:right="279"/>
        <w:spacing w:after="0" w:line="285" w:lineRule="auto"/>
        <w:rPr>
          <w:sz w:val="20"/>
          <w:szCs w:val="20"/>
          <w:color w:val="auto"/>
        </w:rPr>
      </w:pPr>
      <w:r>
        <w:rPr>
          <w:rFonts w:ascii="Arial" w:cs="Arial" w:eastAsia="Arial" w:hAnsi="Arial"/>
          <w:sz w:val="11"/>
          <w:szCs w:val="11"/>
          <w:color w:val="auto"/>
        </w:rPr>
        <w:t>Ferrellgas, L.P. (the “operating partnership”) is a limited partnership that owns and operates propane distribution and related assets. Ferrellgas Partners, L.P. (“Ferrellgas Partners”), a publicly traded limited partnership, holds an approximate 99% limited partner interest in, and consolidates, the operating partnership. Ferrellgas, Inc., a Delaware corporation and a wholly-owned subsidiary of Ferrell Companies, Inc., a Kansas corporation (“Ferrell Companies”), is the sole general partner of Ferrellgas Partners and of the operating partnership. Ferrellgas, Inc. has retained an approximate 1% general partner economic interest in Ferrellgas Partners and also holds an approximate 1% general partner economic interest in the operating partnership, representing an effective 2% general partner economic interest in the operating partnership on a combined basis.</w:t>
      </w:r>
    </w:p>
    <w:p>
      <w:pPr>
        <w:spacing w:after="0" w:line="113" w:lineRule="exact"/>
        <w:rPr>
          <w:sz w:val="20"/>
          <w:szCs w:val="20"/>
          <w:color w:val="auto"/>
        </w:rPr>
      </w:pPr>
    </w:p>
    <w:p>
      <w:pPr>
        <w:ind w:left="20" w:right="79"/>
        <w:spacing w:after="0" w:line="298" w:lineRule="auto"/>
        <w:rPr>
          <w:sz w:val="20"/>
          <w:szCs w:val="20"/>
          <w:color w:val="auto"/>
        </w:rPr>
      </w:pPr>
      <w:r>
        <w:rPr>
          <w:rFonts w:ascii="Arial" w:cs="Arial" w:eastAsia="Arial" w:hAnsi="Arial"/>
          <w:sz w:val="11"/>
          <w:szCs w:val="11"/>
          <w:color w:val="auto"/>
        </w:rPr>
        <w:t>As the sole general partner of Ferrellgas Partners and the operating partnership, Ferrellgas, Inc. performs all management functions required by Ferrellgas Partners and the operating partnership. Ferrellgas Partners and the operating partnership, collectively referred to as “Ferrellgas,” are governed by their respective partnership agreements. These agreements contain specific provisions for the allocation of net earnings and loss to each of the partners for purposes of maintaining the partner capital accounts.</w:t>
      </w:r>
    </w:p>
    <w:p>
      <w:pPr>
        <w:spacing w:after="0" w:line="105"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The operating partnership owns a 100% equity interest in Ferrellgas Finance Corp., whose only business activity is to act as the co-issuer and co-obligor of debt issued by the operating partnership.</w:t>
      </w:r>
    </w:p>
    <w:p>
      <w:pPr>
        <w:spacing w:after="0" w:line="115" w:lineRule="exact"/>
        <w:rPr>
          <w:sz w:val="20"/>
          <w:szCs w:val="20"/>
          <w:color w:val="auto"/>
        </w:rPr>
      </w:pPr>
    </w:p>
    <w:p>
      <w:pPr>
        <w:ind w:left="20" w:right="279"/>
        <w:spacing w:after="0" w:line="263" w:lineRule="auto"/>
        <w:rPr>
          <w:sz w:val="20"/>
          <w:szCs w:val="20"/>
          <w:color w:val="auto"/>
        </w:rPr>
      </w:pPr>
      <w:r>
        <w:rPr>
          <w:rFonts w:ascii="Arial" w:cs="Arial" w:eastAsia="Arial" w:hAnsi="Arial"/>
          <w:sz w:val="12"/>
          <w:szCs w:val="12"/>
          <w:color w:val="auto"/>
        </w:rPr>
        <w:t>The operating partnership is primarily engaged in the retail distribution of propane and related equipment sales. The propane distribution market is seasonal because propane is used primarily for heating in residential and commercial buildings. The operating partnership serves residential, industrial/commercial, portable tank exchange, agricultural, wholesale and other customers in all 50 states, the District of Columbia, and Puerto Rico.</w:t>
      </w:r>
    </w:p>
    <w:p>
      <w:pPr>
        <w:spacing w:after="0" w:line="122" w:lineRule="exact"/>
        <w:rPr>
          <w:sz w:val="20"/>
          <w:szCs w:val="20"/>
          <w:color w:val="auto"/>
        </w:rPr>
      </w:pPr>
    </w:p>
    <w:p>
      <w:pPr>
        <w:ind w:left="20" w:right="259"/>
        <w:spacing w:after="0" w:line="276" w:lineRule="auto"/>
        <w:rPr>
          <w:sz w:val="20"/>
          <w:szCs w:val="20"/>
          <w:color w:val="auto"/>
        </w:rPr>
      </w:pPr>
      <w:r>
        <w:rPr>
          <w:rFonts w:ascii="Arial" w:cs="Arial" w:eastAsia="Arial" w:hAnsi="Arial"/>
          <w:sz w:val="12"/>
          <w:szCs w:val="12"/>
          <w:color w:val="auto"/>
        </w:rPr>
        <w:t>Due to seasonality, the results of operations for the nine months ended April 30, 2021 are not necessarily indicative of the results to be expected for the full fiscal year ending July 31, 2021.</w:t>
      </w:r>
    </w:p>
    <w:p>
      <w:pPr>
        <w:spacing w:after="0" w:line="115" w:lineRule="exact"/>
        <w:rPr>
          <w:sz w:val="20"/>
          <w:szCs w:val="20"/>
          <w:color w:val="auto"/>
        </w:rPr>
      </w:pPr>
    </w:p>
    <w:p>
      <w:pPr>
        <w:ind w:left="20" w:right="39"/>
        <w:spacing w:after="0" w:line="289" w:lineRule="auto"/>
        <w:rPr>
          <w:sz w:val="20"/>
          <w:szCs w:val="20"/>
          <w:color w:val="auto"/>
        </w:rPr>
      </w:pPr>
      <w:r>
        <w:rPr>
          <w:rFonts w:ascii="Arial" w:cs="Arial" w:eastAsia="Arial" w:hAnsi="Arial"/>
          <w:sz w:val="11"/>
          <w:szCs w:val="11"/>
          <w:color w:val="auto"/>
        </w:rPr>
        <w:t>The condensed consolidated financial statements of the operating partnership and subsidiaries reflect all adjustments that are, in the opinion of management, necessary for a fair presentation of the interim periods presented. All adjustments to the condensed consolidated financial statements were of a normal recurring nature. The information included in this Quarterly Report on Form 10-Q should be read in conjunction with (i) the section entitled “Management’s Discussion and Analysis of Financial Condition and Results of Operations” and (ii) the consolidated financial statements and accompanying notes included in Ferrellgas, L.P.’s Annual Report on Form 10-K for fiscal 2020.</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Chapter 11 Bankruptcy Cases</w:t>
      </w:r>
    </w:p>
    <w:p>
      <w:pPr>
        <w:spacing w:after="0" w:line="150" w:lineRule="exact"/>
        <w:rPr>
          <w:sz w:val="20"/>
          <w:szCs w:val="20"/>
          <w:color w:val="auto"/>
        </w:rPr>
      </w:pPr>
    </w:p>
    <w:p>
      <w:pPr>
        <w:ind w:left="20" w:right="119"/>
        <w:spacing w:after="0" w:line="298" w:lineRule="auto"/>
        <w:rPr>
          <w:sz w:val="20"/>
          <w:szCs w:val="20"/>
          <w:color w:val="auto"/>
        </w:rPr>
      </w:pPr>
      <w:r>
        <w:rPr>
          <w:rFonts w:ascii="Arial" w:cs="Arial" w:eastAsia="Arial" w:hAnsi="Arial"/>
          <w:sz w:val="11"/>
          <w:szCs w:val="11"/>
          <w:color w:val="auto"/>
        </w:rPr>
        <w:t xml:space="preserve">As previously reported, on January 11, 2021, Ferrellgas Partners and Ferrellgas Partners Finance Corp. filed voluntary petitions for relief under chapter 11 of title 11 of the United States Code (the “Bankruptcy Code”) in the United States Bankruptcy Court for the District of Delaware (the “Bankruptcy Court”). The chapter 11 cases were jointly administered under the caption and case numbers, </w:t>
      </w:r>
      <w:r>
        <w:rPr>
          <w:rFonts w:ascii="Arial" w:cs="Arial" w:eastAsia="Arial" w:hAnsi="Arial"/>
          <w:sz w:val="11"/>
          <w:szCs w:val="11"/>
          <w:i w:val="1"/>
          <w:iCs w:val="1"/>
          <w:color w:val="auto"/>
        </w:rPr>
        <w:t>In re: Ferrellgas Partners, L.P. and Ferrellgas Partners Finance Corp.</w:t>
      </w:r>
      <w:r>
        <w:rPr>
          <w:rFonts w:ascii="Arial" w:cs="Arial" w:eastAsia="Arial" w:hAnsi="Arial"/>
          <w:sz w:val="11"/>
          <w:szCs w:val="11"/>
          <w:color w:val="auto"/>
        </w:rPr>
        <w:t>, Chapter 11 Case Nos. 21-10020 and 21-10021.</w:t>
      </w:r>
    </w:p>
    <w:p>
      <w:pPr>
        <w:spacing w:after="0" w:line="105"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 xml:space="preserve">On March 5, 2021, the Bankruptcy Court entered an order (the “Confirmation Order”) confirming the </w:t>
      </w:r>
      <w:r>
        <w:rPr>
          <w:rFonts w:ascii="Arial" w:cs="Arial" w:eastAsia="Arial" w:hAnsi="Arial"/>
          <w:sz w:val="12"/>
          <w:szCs w:val="12"/>
          <w:i w:val="1"/>
          <w:iCs w:val="1"/>
          <w:color w:val="auto"/>
        </w:rPr>
        <w:t>Second Amended Prepackaged Joint Chapter 11 Plan of Reorganization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Ferrellgas Partners, L.P. and Ferrellgas Partners Finance Corp. </w:t>
      </w:r>
      <w:r>
        <w:rPr>
          <w:rFonts w:ascii="Arial" w:cs="Arial" w:eastAsia="Arial" w:hAnsi="Arial"/>
          <w:sz w:val="12"/>
          <w:szCs w:val="12"/>
          <w:color w:val="auto"/>
        </w:rPr>
        <w:t>(the “Plan”).</w:t>
      </w:r>
    </w:p>
    <w:p>
      <w:pPr>
        <w:spacing w:after="0" w:line="115"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On March 30, 2021 (the “Effective Date”), the conditions to effectiveness of the Plan were satisfied and the Confirmation Order was deemed binding upon Ferrellgas Partners, Ferrellgas Partners Finance Corp. and all other parties affected by the Plan. In satisfying the conditions of the Plan, on the Effective Date, certain restructuring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2" w:name="page43"/>
    <w:bookmarkEnd w:id="4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transactions by Ferrellgas Partners and certain financing transactions by the operating partnership were completed, as further described under “–Transactions” below.</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Transactions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Satisfaction of Ferrellgas Partners Notes; Issuance of Class B Units to Holders of Ferrellgas Partners Notes</w:t>
      </w:r>
    </w:p>
    <w:p>
      <w:pPr>
        <w:spacing w:after="0" w:line="150" w:lineRule="exact"/>
        <w:rPr>
          <w:sz w:val="20"/>
          <w:szCs w:val="20"/>
          <w:color w:val="auto"/>
        </w:rPr>
      </w:pPr>
    </w:p>
    <w:p>
      <w:pPr>
        <w:ind w:left="20" w:right="139"/>
        <w:spacing w:after="0" w:line="323" w:lineRule="auto"/>
        <w:rPr>
          <w:sz w:val="20"/>
          <w:szCs w:val="20"/>
          <w:color w:val="auto"/>
        </w:rPr>
      </w:pPr>
      <w:r>
        <w:rPr>
          <w:rFonts w:ascii="Arial" w:cs="Arial" w:eastAsia="Arial" w:hAnsi="Arial"/>
          <w:sz w:val="11"/>
          <w:szCs w:val="11"/>
          <w:color w:val="auto"/>
        </w:rPr>
        <w:t>On the Effective Date, by operation of the Plan, all outstanding indebtedness (including accrued interest) of Ferrellgas Partners and Ferrellgas Partners Finance Corp. under their $357.0 million aggregate principal amount of 8.625% senior unsecured notes due June 2020 (the “Ferrellgas Partners Notes”) were discharged and cancelled.</w:t>
      </w:r>
    </w:p>
    <w:p>
      <w:pPr>
        <w:spacing w:after="0" w:line="92"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Pursuant to the Plan, Ferrellgas Partners issued an aggregate of 1.3 million of its Class B Units to holders of the Ferrellgas Partners Notes in satisfaction of their claims in respect of the Ferrellgas Partners Notes.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Preferred Units</w:t>
      </w:r>
    </w:p>
    <w:p>
      <w:pPr>
        <w:spacing w:after="0" w:line="150"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On the Effective Date, the operating partnership and the general partner (in its capacity as the general partner of operating partnership) entered into an Investment Agreement (the “Investment Agreement”) with certain purchasers named therein, pursuant to which, on the Effective Date, the operating partnership issued and sold to such purchasers an aggregate of 700,000 Senior Preferred Units (the “Preferred Units”), having an aggregate initial liquidation preference of $700.0 million. The purchase price per Preferred Unit was $1,000 less a 3.0% purchase price discount, for an aggregate purchase price of $679.0 million.</w:t>
      </w:r>
    </w:p>
    <w:p>
      <w:pPr>
        <w:spacing w:after="0" w:line="124"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operating partnership received net proceeds from the issuance and sale of the Preferred Units of approximately $651.8 million, after deducting the purchase price discount and certain expenses. The operating partnership used such net proceeds, together with the net proceeds of the issuance and sale of the 2026 Notes and the 2029 Notes (as defined and described below) and cash on hand, (i) to redeem (or satisfy and discharge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G – Preferred units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Senior Unsecured Notes</w:t>
      </w:r>
    </w:p>
    <w:p>
      <w:pPr>
        <w:spacing w:after="0" w:line="132"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On the Effective Date, two wholly-owned subsidiaries of the operating partnership (the “Escrow Issuers”) issued $650.0 million aggregate principal amount of 5.375% senior notes due 2026 (the “2026 Notes”) and $825.0 million aggregate principal amount of 5.875% senior notes due 2029 (the “2029 Notes”), in each case, at an offering price equal to 100% of the principal amount thereof. On the Effective Date and immediately after the issuance of the 2026 Notes and the 2029 Notes by the Escrow Issuers, (i) the Escrow Issuers were merged into the operating partnership and Ferrellgas Finance Corp., respectively, and the operating partnership and Ferrellgas Finance Corp. assumed the obligations of the Escrow Issuers as co-issuers of the 2026 Notes and the 2029 Notes, and (ii) the general partner and certain subsidiaries of the operating partnership guaranteed the 2026 Notes and the 2029 Notes.</w:t>
      </w:r>
    </w:p>
    <w:p>
      <w:pPr>
        <w:spacing w:after="0" w:line="113"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The operating partnership received aggregate net proceeds from the issuance and sale of the 2026 Notes and the 2029 Notes of approximately $1,446.5 million, after deducting the initial purchaser’s discount and offering expenses. The operating partnership used such net proceeds, together with the net proceeds of the issuance and sale of the Preferred Units and cash on hand, (i) to redeem (or satisfy and discharge the indentures governing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F – Debt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Redemption of Previously Issued Senior Notes</w:t>
      </w:r>
    </w:p>
    <w:p>
      <w:pPr>
        <w:spacing w:after="0" w:line="150"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Prior to the Effective Date, the operating partnership delivered notices of redemption of all its previously issued and outstanding 10.00% senior secured notes due 2025 (the “2025 Notes”), 6.50% senior unsecured notes due 2021 (the “2021 Notes”), 6.75% senior unsecured notes due 2022 (the “2022 Notes”) and 6.75% senior unsecured notes due 2023 (the “2023 Notes”), in the aggregate combined principal amount for all such notes of $2,175.0 million, pursuant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3" w:name="page44"/>
    <w:bookmarkEnd w:id="4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terms of the indentures governing those notes, with a redemption date of March 30, 2021 for the 2025 Notes and April 5, 2021 for the 2021 Notes, the 2022 Notes and the 2023 Notes.</w:t>
      </w:r>
    </w:p>
    <w:p>
      <w:pPr>
        <w:spacing w:after="0" w:line="162" w:lineRule="exact"/>
        <w:rPr>
          <w:sz w:val="20"/>
          <w:szCs w:val="20"/>
          <w:color w:val="auto"/>
        </w:rPr>
      </w:pPr>
    </w:p>
    <w:p>
      <w:pPr>
        <w:ind w:left="20" w:right="59"/>
        <w:spacing w:after="0" w:line="285" w:lineRule="auto"/>
        <w:rPr>
          <w:sz w:val="20"/>
          <w:szCs w:val="20"/>
          <w:color w:val="auto"/>
        </w:rPr>
      </w:pPr>
      <w:r>
        <w:rPr>
          <w:rFonts w:ascii="Arial" w:cs="Arial" w:eastAsia="Arial" w:hAnsi="Arial"/>
          <w:sz w:val="11"/>
          <w:szCs w:val="11"/>
          <w:color w:val="auto"/>
        </w:rPr>
        <w:t>On the Effective Date, the operating partnership redeemed all of the issued and outstanding 2025 Notes. Also on the Effective Date, the operating partnership (i) satisfied and discharged the indentures governing the 2021 Notes, the 2022 Notes and the 2023 Notes by irrevocably depositing with the applicable trustees under such indentures funds in an amount sufficient to pay the redemption price for all of such notes on April 5, 2021 and (ii) delivered irrevocable instructions directing the applicable trustees to apply such funds to the redemption of such notes on April 5, 2021. As a result, as of the Effective Date, the indentures governing the 2021 Notes, the 2022 Notes and the 2023 Notes ceased to be of further effect (except as to certain expressly surviving rights), and all of the issued and outstanding 2021 Notes, 2022 Notes and 2023 Notes were redeemed on April 5, 2021.</w:t>
      </w:r>
    </w:p>
    <w:p>
      <w:pPr>
        <w:spacing w:after="0" w:line="113"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The aggregate redemption price for the 2021 Notes, the 2022 Notes, the 2023 Notes and the 2025 Notes was approximately $2,320.9 million, consisting of principal, redemption premium (in the case of the 2023 Notes and the 2025 Notes) and accrued and unpaid interest to the applicable redemption date. See Note F – Debt for additional discussion.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Credit Agreement</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On the Effective Date, the operating partnership, the general partner and certain of the operating partnership’s subsidiaries entered into a Credit Agreement, which provides for a four-year revolving credit facility in an aggregate principal amount of up to $350.0 million, including a sublimit not to exceed $225.0 million for the issuance of letters of credit for a period of 60 days after March 30, 2021, reducing to $200.0 million thereafter. See Note F – Debt for additional discussion.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Termination of Accounts Receivable Securitization Facility</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On the Effective Date, the operating partnership and its receivables subsidiary repaid all of the outstanding obligations and fees under the then-existing accounts receivable securitization facility and terminated that facility. See Note E – Accounts and notes receivable, net for additional discussion.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Amended Partnership Agreement</w:t>
      </w:r>
    </w:p>
    <w:p>
      <w:pPr>
        <w:spacing w:after="0" w:line="150"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On the Effective Date, the general partner executed (i) the Fifth Amended and Restated Agreement of Limited Partnership of Ferrellgas, L.P. (the “Amended OpCo LPA”), which amended and restated in its entirety the Fourth Amended and Restated Agreement of Limited Partnership of Ferrellgas L.P., and (ii) a First Amendment to the Amended OpCo LPA (the “OpCo LPA First Amendment”), which sets forth the preferences, rights, privileges and other terms of the Preferred Units.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4" w:name="page45"/>
    <w:bookmarkEnd w:id="4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Summary of significant accounting policies</w:t>
      </w:r>
    </w:p>
    <w:p>
      <w:pPr>
        <w:spacing w:after="0" w:line="150" w:lineRule="exact"/>
        <w:rPr>
          <w:sz w:val="20"/>
          <w:szCs w:val="20"/>
          <w:color w:val="auto"/>
        </w:rPr>
      </w:pPr>
    </w:p>
    <w:p>
      <w:pPr>
        <w:ind w:left="20" w:right="99" w:firstLine="2"/>
        <w:spacing w:after="0" w:line="255" w:lineRule="auto"/>
        <w:tabs>
          <w:tab w:leader="none" w:pos="19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Accounting estimates: </w:t>
      </w:r>
      <w:r>
        <w:rPr>
          <w:rFonts w:ascii="Arial" w:cs="Arial" w:eastAsia="Arial" w:hAnsi="Arial"/>
          <w:sz w:val="12"/>
          <w:szCs w:val="12"/>
          <w:color w:val="auto"/>
        </w:rPr>
        <w:t>The preparation of financial statements in conformity with accounting principles generally accepted in the United States of America (“GAAP”) requires</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condensed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Update to accounting estimates:</w:t>
      </w:r>
    </w:p>
    <w:p>
      <w:pPr>
        <w:spacing w:after="0" w:line="154" w:lineRule="exact"/>
        <w:rPr>
          <w:sz w:val="20"/>
          <w:szCs w:val="20"/>
          <w:color w:val="auto"/>
        </w:rPr>
      </w:pPr>
    </w:p>
    <w:p>
      <w:pPr>
        <w:jc w:val="both"/>
        <w:ind w:left="20" w:right="179"/>
        <w:spacing w:after="0" w:line="276" w:lineRule="auto"/>
        <w:rPr>
          <w:sz w:val="20"/>
          <w:szCs w:val="20"/>
          <w:color w:val="auto"/>
        </w:rPr>
      </w:pPr>
      <w:r>
        <w:rPr>
          <w:rFonts w:ascii="Arial" w:cs="Arial" w:eastAsia="Arial" w:hAnsi="Arial"/>
          <w:sz w:val="12"/>
          <w:szCs w:val="12"/>
          <w:color w:val="auto"/>
        </w:rPr>
        <w:t xml:space="preserve">On August 1, 2020 Ferrellgas, L.P. adopted Accounting Standards Update (“ASU”) 2016-13, </w:t>
      </w:r>
      <w:r>
        <w:rPr>
          <w:rFonts w:ascii="Arial" w:cs="Arial" w:eastAsia="Arial" w:hAnsi="Arial"/>
          <w:sz w:val="12"/>
          <w:szCs w:val="12"/>
          <w:i w:val="1"/>
          <w:iCs w:val="1"/>
          <w:color w:val="auto"/>
        </w:rPr>
        <w:t>Financial Instruments – Credit Losses (Topic 326)</w:t>
      </w:r>
      <w:r>
        <w:rPr>
          <w:rFonts w:ascii="Arial" w:cs="Arial" w:eastAsia="Arial" w:hAnsi="Arial"/>
          <w:sz w:val="12"/>
          <w:szCs w:val="12"/>
          <w:color w:val="auto"/>
        </w:rPr>
        <w:t>. As a result, we updated our significant accounting policies for the measurement of expected credit losses below.</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Allowance for expected credit losses</w:t>
      </w:r>
    </w:p>
    <w:p>
      <w:pPr>
        <w:spacing w:after="0" w:line="150"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Ferrellgas, L.P. closely monitors accounts receivable balances and estimates the allowance for expected credit losses. The estimate is primarily based on historical collection experience and other factors, including those related to current market conditions and events. The expected credit losses associated with accounts receivable have not historically been material and the adoption impact on Ferrellgas, L.P.’s allowance for expected credit losses was immaterial as of April 30, 2021.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(2) New accounting standards: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FASB Accounting Standard Update No. 2016-13</w:t>
      </w:r>
    </w:p>
    <w:p>
      <w:pPr>
        <w:spacing w:after="0" w:line="154" w:lineRule="exact"/>
        <w:rPr>
          <w:sz w:val="20"/>
          <w:szCs w:val="20"/>
          <w:color w:val="auto"/>
        </w:rPr>
      </w:pPr>
    </w:p>
    <w:p>
      <w:pPr>
        <w:jc w:val="both"/>
        <w:ind w:left="20" w:right="99"/>
        <w:spacing w:after="0" w:line="289"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Financial Instruments - Credit Losses (Topic 326),</w:t>
      </w:r>
      <w:r>
        <w:rPr>
          <w:rFonts w:ascii="Arial" w:cs="Arial" w:eastAsia="Arial" w:hAnsi="Arial"/>
          <w:sz w:val="11"/>
          <w:szCs w:val="11"/>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L.P. adopted the amended guidance effective August 1, 2020. The adoption of this standard did not have a material impact on the condensed consolidated financial statements.</w:t>
      </w:r>
      <w:r>
        <w:rPr>
          <w:rFonts w:ascii="Arial" w:cs="Arial" w:eastAsia="Arial" w:hAnsi="Arial"/>
          <w:sz w:val="11"/>
          <w:szCs w:val="11"/>
          <w:color w:val="FFFFFF"/>
        </w:rPr>
        <w: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5" w:name="page46"/>
    <w:bookmarkEnd w:id="4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60" w:hanging="138"/>
        <w:spacing w:after="0"/>
        <w:tabs>
          <w:tab w:leader="none" w:pos="160"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Leases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the operating and financing ROU assets and lease liabilities as of April 30, 2021 and July 31, 2020:</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380" w:type="dxa"/>
            <w:vAlign w:val="bottom"/>
            <w:gridSpan w:val="2"/>
          </w:tcPr>
          <w:p>
            <w:pPr>
              <w:spacing w:after="0"/>
              <w:rPr>
                <w:sz w:val="20"/>
                <w:szCs w:val="20"/>
                <w:color w:val="auto"/>
              </w:rPr>
            </w:pPr>
            <w:r>
              <w:rPr>
                <w:rFonts w:ascii="Arial" w:cs="Arial" w:eastAsia="Arial" w:hAnsi="Arial"/>
                <w:sz w:val="10"/>
                <w:szCs w:val="10"/>
                <w:b w:val="1"/>
                <w:bCs w:val="1"/>
                <w:color w:val="auto"/>
              </w:rPr>
              <w:t>Leases</w:t>
            </w:r>
          </w:p>
        </w:tc>
        <w:tc>
          <w:tcPr>
            <w:tcW w:w="1860" w:type="dxa"/>
            <w:vAlign w:val="bottom"/>
          </w:tcPr>
          <w:p>
            <w:pPr>
              <w:ind w:left="1000"/>
              <w:spacing w:after="0"/>
              <w:rPr>
                <w:sz w:val="20"/>
                <w:szCs w:val="20"/>
                <w:color w:val="auto"/>
              </w:rPr>
            </w:pPr>
            <w:r>
              <w:rPr>
                <w:rFonts w:ascii="Arial" w:cs="Arial" w:eastAsia="Arial" w:hAnsi="Arial"/>
                <w:sz w:val="10"/>
                <w:szCs w:val="10"/>
                <w:b w:val="1"/>
                <w:bCs w:val="1"/>
                <w:color w:val="auto"/>
              </w:rPr>
              <w:t>Classification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jc w:val="right"/>
              <w:ind w:right="541"/>
              <w:spacing w:after="0"/>
              <w:rPr>
                <w:sz w:val="20"/>
                <w:szCs w:val="20"/>
                <w:color w:val="auto"/>
              </w:rPr>
            </w:pPr>
            <w:r>
              <w:rPr>
                <w:rFonts w:ascii="Arial" w:cs="Arial" w:eastAsia="Arial" w:hAnsi="Arial"/>
                <w:sz w:val="10"/>
                <w:szCs w:val="10"/>
                <w:b w:val="1"/>
                <w:bCs w:val="1"/>
                <w:color w:val="auto"/>
              </w:rPr>
              <w:t>April 30, 2021</w:t>
            </w:r>
          </w:p>
        </w:tc>
        <w:tc>
          <w:tcPr>
            <w:tcW w:w="260" w:type="dxa"/>
            <w:vAlign w:val="bottom"/>
          </w:tcPr>
          <w:p>
            <w:pPr>
              <w:spacing w:after="0"/>
              <w:rPr>
                <w:sz w:val="10"/>
                <w:szCs w:val="10"/>
                <w:color w:val="auto"/>
              </w:rPr>
            </w:pPr>
          </w:p>
        </w:tc>
        <w:tc>
          <w:tcPr>
            <w:tcW w:w="1780" w:type="dxa"/>
            <w:vAlign w:val="bottom"/>
          </w:tcPr>
          <w:p>
            <w:pPr>
              <w:jc w:val="right"/>
              <w:ind w:right="561"/>
              <w:spacing w:after="0"/>
              <w:rPr>
                <w:sz w:val="20"/>
                <w:szCs w:val="20"/>
                <w:color w:val="auto"/>
              </w:rPr>
            </w:pPr>
            <w:r>
              <w:rPr>
                <w:rFonts w:ascii="Arial" w:cs="Arial" w:eastAsia="Arial" w:hAnsi="Arial"/>
                <w:sz w:val="10"/>
                <w:szCs w:val="10"/>
                <w:b w:val="1"/>
                <w:bCs w:val="1"/>
                <w:color w:val="auto"/>
              </w:rPr>
              <w:t>July 31, 2020</w:t>
            </w:r>
          </w:p>
        </w:tc>
      </w:tr>
      <w:tr>
        <w:trPr>
          <w:trHeight w:val="133"/>
        </w:trPr>
        <w:tc>
          <w:tcPr>
            <w:tcW w:w="22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r>
      <w:tr>
        <w:trPr>
          <w:trHeight w:val="144"/>
        </w:trPr>
        <w:tc>
          <w:tcPr>
            <w:tcW w:w="2380" w:type="dxa"/>
            <w:vAlign w:val="bottom"/>
            <w:gridSpan w:val="2"/>
          </w:tcPr>
          <w:p>
            <w:pPr>
              <w:spacing w:after="0"/>
              <w:rPr>
                <w:sz w:val="20"/>
                <w:szCs w:val="20"/>
                <w:color w:val="auto"/>
              </w:rPr>
            </w:pPr>
            <w:r>
              <w:rPr>
                <w:rFonts w:ascii="Arial" w:cs="Arial" w:eastAsia="Arial" w:hAnsi="Arial"/>
                <w:sz w:val="12"/>
                <w:szCs w:val="12"/>
                <w:color w:val="auto"/>
              </w:rPr>
              <w:t>Operating lease assets</w:t>
            </w:r>
          </w:p>
        </w:tc>
        <w:tc>
          <w:tcPr>
            <w:tcW w:w="1860" w:type="dxa"/>
            <w:vAlign w:val="bottom"/>
          </w:tcPr>
          <w:p>
            <w:pPr>
              <w:spacing w:after="0"/>
              <w:rPr>
                <w:sz w:val="20"/>
                <w:szCs w:val="20"/>
                <w:color w:val="auto"/>
              </w:rPr>
            </w:pPr>
            <w:r>
              <w:rPr>
                <w:rFonts w:ascii="Arial" w:cs="Arial" w:eastAsia="Arial" w:hAnsi="Arial"/>
                <w:sz w:val="12"/>
                <w:szCs w:val="12"/>
                <w:color w:val="auto"/>
                <w:w w:val="98"/>
              </w:rPr>
              <w:t>Operating lease right-of-use assets</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93,341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107,349</w:t>
            </w:r>
          </w:p>
        </w:tc>
      </w:tr>
      <w:tr>
        <w:trPr>
          <w:trHeight w:val="144"/>
        </w:trPr>
        <w:tc>
          <w:tcPr>
            <w:tcW w:w="2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 lease assets</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36,747</w:t>
            </w:r>
          </w:p>
        </w:tc>
        <w:tc>
          <w:tcPr>
            <w:tcW w:w="260" w:type="dxa"/>
            <w:vAlign w:val="bottom"/>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41,426</w:t>
            </w:r>
          </w:p>
        </w:tc>
      </w:tr>
      <w:tr>
        <w:trPr>
          <w:trHeight w:val="140"/>
        </w:trPr>
        <w:tc>
          <w:tcPr>
            <w:tcW w:w="238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Total leased assets</w:t>
            </w:r>
          </w:p>
        </w:tc>
        <w:tc>
          <w:tcPr>
            <w:tcW w:w="18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130,088</w:t>
            </w:r>
          </w:p>
        </w:tc>
        <w:tc>
          <w:tcPr>
            <w:tcW w:w="260" w:type="dxa"/>
            <w:vAlign w:val="bottom"/>
            <w:tcBorders>
              <w:bottom w:val="single" w:sz="8" w:color="CCEEFF"/>
            </w:tcBorders>
          </w:tcPr>
          <w:p>
            <w:pPr>
              <w:jc w:val="right"/>
              <w:spacing w:after="0" w:line="133" w:lineRule="exact"/>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148,775</w:t>
            </w:r>
          </w:p>
        </w:tc>
      </w:tr>
      <w:tr>
        <w:trPr>
          <w:trHeight w:val="144"/>
        </w:trPr>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4"/>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Current</w:t>
            </w: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4"/>
        </w:trPr>
        <w:tc>
          <w:tcPr>
            <w:tcW w:w="2380" w:type="dxa"/>
            <w:vAlign w:val="bottom"/>
            <w:gridSpan w:val="2"/>
          </w:tcPr>
          <w:p>
            <w:pPr>
              <w:spacing w:after="0"/>
              <w:rPr>
                <w:sz w:val="20"/>
                <w:szCs w:val="20"/>
                <w:color w:val="auto"/>
              </w:rPr>
            </w:pPr>
            <w:r>
              <w:rPr>
                <w:rFonts w:ascii="Arial" w:cs="Arial" w:eastAsia="Arial" w:hAnsi="Arial"/>
                <w:sz w:val="12"/>
                <w:szCs w:val="12"/>
                <w:color w:val="auto"/>
              </w:rPr>
              <w:t>Operating</w:t>
            </w:r>
          </w:p>
        </w:tc>
        <w:tc>
          <w:tcPr>
            <w:tcW w:w="1860" w:type="dxa"/>
            <w:vAlign w:val="bottom"/>
          </w:tcPr>
          <w:p>
            <w:pPr>
              <w:spacing w:after="0"/>
              <w:rPr>
                <w:sz w:val="20"/>
                <w:szCs w:val="20"/>
                <w:color w:val="auto"/>
              </w:rPr>
            </w:pPr>
            <w:r>
              <w:rPr>
                <w:rFonts w:ascii="Arial" w:cs="Arial" w:eastAsia="Arial" w:hAnsi="Arial"/>
                <w:sz w:val="12"/>
                <w:szCs w:val="12"/>
                <w:color w:val="auto"/>
              </w:rPr>
              <w:t>Current operating lease liabilities</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26,669</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29,345</w:t>
            </w:r>
          </w:p>
        </w:tc>
      </w:tr>
      <w:tr>
        <w:trPr>
          <w:trHeight w:val="144"/>
        </w:trPr>
        <w:tc>
          <w:tcPr>
            <w:tcW w:w="2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w:t>
            </w: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6,955</w:t>
            </w:r>
          </w:p>
        </w:tc>
      </w:tr>
      <w:tr>
        <w:trPr>
          <w:trHeight w:val="144"/>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rPr>
              <w:t>Noncurrent</w:t>
            </w: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w:t>
            </w: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78,498</w:t>
            </w: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89,022</w:t>
            </w:r>
          </w:p>
        </w:tc>
      </w:tr>
      <w:tr>
        <w:trPr>
          <w:trHeight w:val="144"/>
        </w:trPr>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Financing</w:t>
            </w:r>
          </w:p>
        </w:tc>
        <w:tc>
          <w:tcPr>
            <w:tcW w:w="1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29,559</w:t>
            </w:r>
          </w:p>
        </w:tc>
        <w:tc>
          <w:tcPr>
            <w:tcW w:w="26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33,473</w:t>
            </w:r>
          </w:p>
        </w:tc>
      </w:tr>
      <w:tr>
        <w:trPr>
          <w:trHeight w:val="153"/>
        </w:trPr>
        <w:tc>
          <w:tcPr>
            <w:tcW w:w="238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leased liabilities</w:t>
            </w:r>
          </w:p>
        </w:tc>
        <w:tc>
          <w:tcPr>
            <w:tcW w:w="18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142,186</w:t>
            </w: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158,795</w:t>
            </w:r>
          </w:p>
        </w:tc>
      </w:tr>
      <w:tr>
        <w:trPr>
          <w:trHeight w:val="455"/>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jc w:val="right"/>
              <w:ind w:right="340"/>
              <w:spacing w:after="0"/>
              <w:rPr>
                <w:sz w:val="20"/>
                <w:szCs w:val="20"/>
                <w:color w:val="auto"/>
              </w:rPr>
            </w:pPr>
            <w:r>
              <w:rPr>
                <w:rFonts w:ascii="Arial" w:cs="Arial" w:eastAsia="Arial" w:hAnsi="Arial"/>
                <w:sz w:val="12"/>
                <w:szCs w:val="12"/>
                <w:color w:val="auto"/>
              </w:rPr>
              <w:t>46</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7"/>
        </w:trPr>
        <w:tc>
          <w:tcPr>
            <w:tcW w:w="2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46" w:name="page47"/>
    <w:bookmarkEnd w:id="4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the lease expenses for the three and nine months ended April 30, 2021 and 2020:</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gridSpan w:val="5"/>
          </w:tcPr>
          <w:p>
            <w:pPr>
              <w:ind w:left="80"/>
              <w:spacing w:after="0"/>
              <w:rPr>
                <w:sz w:val="20"/>
                <w:szCs w:val="20"/>
                <w:color w:val="auto"/>
              </w:rPr>
            </w:pPr>
            <w:r>
              <w:rPr>
                <w:rFonts w:ascii="Arial" w:cs="Arial" w:eastAsia="Arial" w:hAnsi="Arial"/>
                <w:sz w:val="10"/>
                <w:szCs w:val="10"/>
                <w:b w:val="1"/>
                <w:bCs w:val="1"/>
                <w:color w:val="auto"/>
              </w:rPr>
              <w:t>For the three months ended April 30,</w:t>
            </w:r>
          </w:p>
        </w:tc>
        <w:tc>
          <w:tcPr>
            <w:tcW w:w="140" w:type="dxa"/>
            <w:vAlign w:val="bottom"/>
          </w:tcPr>
          <w:p>
            <w:pPr>
              <w:spacing w:after="0"/>
              <w:rPr>
                <w:sz w:val="10"/>
                <w:szCs w:val="10"/>
                <w:color w:val="auto"/>
              </w:rPr>
            </w:pPr>
          </w:p>
        </w:tc>
        <w:tc>
          <w:tcPr>
            <w:tcW w:w="1840" w:type="dxa"/>
            <w:vAlign w:val="bottom"/>
            <w:gridSpan w:val="4"/>
          </w:tcPr>
          <w:p>
            <w:pPr>
              <w:jc w:val="right"/>
              <w:ind w:right="201"/>
              <w:spacing w:after="0"/>
              <w:rPr>
                <w:sz w:val="20"/>
                <w:szCs w:val="20"/>
                <w:color w:val="auto"/>
              </w:rPr>
            </w:pPr>
            <w:r>
              <w:rPr>
                <w:rFonts w:ascii="Arial" w:cs="Arial" w:eastAsia="Arial" w:hAnsi="Arial"/>
                <w:sz w:val="10"/>
                <w:szCs w:val="10"/>
                <w:b w:val="1"/>
                <w:bCs w:val="1"/>
                <w:color w:val="auto"/>
                <w:w w:val="91"/>
              </w:rPr>
              <w:t>For the nine months ended April 30,</w:t>
            </w:r>
          </w:p>
        </w:tc>
      </w:tr>
      <w:tr>
        <w:trPr>
          <w:trHeight w:val="134"/>
        </w:trPr>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Leases expense</w:t>
            </w: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Classification</w:t>
            </w:r>
          </w:p>
        </w:tc>
        <w:tc>
          <w:tcPr>
            <w:tcW w:w="140" w:type="dxa"/>
            <w:vAlign w:val="bottom"/>
          </w:tcPr>
          <w:p>
            <w:pPr>
              <w:spacing w:after="0"/>
              <w:rPr>
                <w:sz w:val="11"/>
                <w:szCs w:val="11"/>
                <w:color w:val="auto"/>
              </w:rPr>
            </w:pPr>
          </w:p>
        </w:tc>
        <w:tc>
          <w:tcPr>
            <w:tcW w:w="840" w:type="dxa"/>
            <w:vAlign w:val="bottom"/>
          </w:tcPr>
          <w:p>
            <w:pPr>
              <w:jc w:val="right"/>
              <w:ind w:right="321"/>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41"/>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341"/>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41"/>
              <w:spacing w:after="0"/>
              <w:rPr>
                <w:sz w:val="20"/>
                <w:szCs w:val="20"/>
                <w:color w:val="auto"/>
              </w:rPr>
            </w:pPr>
            <w:r>
              <w:rPr>
                <w:rFonts w:ascii="Arial" w:cs="Arial" w:eastAsia="Arial" w:hAnsi="Arial"/>
                <w:sz w:val="10"/>
                <w:szCs w:val="10"/>
                <w:b w:val="1"/>
                <w:bCs w:val="1"/>
                <w:color w:val="auto"/>
              </w:rPr>
              <w:t>2020</w:t>
            </w:r>
          </w:p>
        </w:tc>
      </w:tr>
      <w:tr>
        <w:trPr>
          <w:trHeight w:val="124"/>
        </w:trPr>
        <w:tc>
          <w:tcPr>
            <w:tcW w:w="22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Operating lease expense</w:t>
            </w: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Operating expense - personnel, vehicle, plant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and other</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5,126</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5,351</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2"/>
                <w:szCs w:val="12"/>
                <w:color w:val="auto"/>
                <w:w w:val="98"/>
              </w:rPr>
              <w:t>Operating expense - equipment lease expense</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6,373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7,602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19,328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23,365</w:t>
            </w:r>
          </w:p>
        </w:tc>
      </w:tr>
      <w:tr>
        <w:trPr>
          <w:trHeight w:val="135"/>
        </w:trPr>
        <w:tc>
          <w:tcPr>
            <w:tcW w:w="2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Cost of sales - propane and other gas liquids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2"/>
                <w:szCs w:val="12"/>
                <w:color w:val="auto"/>
              </w:rPr>
              <w:t>General and administrative expense</w:t>
            </w:r>
          </w:p>
        </w:tc>
        <w:tc>
          <w:tcPr>
            <w:tcW w:w="14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(169)</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1,491</w:t>
            </w:r>
          </w:p>
        </w:tc>
      </w:tr>
      <w:tr>
        <w:trPr>
          <w:trHeight w:val="133"/>
        </w:trPr>
        <w:tc>
          <w:tcPr>
            <w:tcW w:w="23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operating lease expense</w:t>
            </w:r>
          </w:p>
        </w:tc>
        <w:tc>
          <w:tcPr>
            <w:tcW w:w="2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8,511</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10,446</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26,240</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31,290</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Short-term expense</w:t>
            </w: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Operating expense - personnel, vehicle, plant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and other</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5,908</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w:t>
            </w:r>
          </w:p>
        </w:tc>
      </w:tr>
      <w:tr>
        <w:trPr>
          <w:trHeight w:val="144"/>
        </w:trPr>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General and administrative expense</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w:t>
            </w:r>
          </w:p>
        </w:tc>
      </w:tr>
      <w:tr>
        <w:trPr>
          <w:trHeight w:val="133"/>
        </w:trPr>
        <w:tc>
          <w:tcPr>
            <w:tcW w:w="23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short-term expense</w:t>
            </w:r>
          </w:p>
        </w:tc>
        <w:tc>
          <w:tcPr>
            <w:tcW w:w="2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2,114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1,635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6,383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5,852</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Variable lease expense</w:t>
            </w: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Operating expense - personnel, vehicle, plant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3"/>
        </w:trPr>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and other</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2,328</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2,097</w:t>
            </w:r>
          </w:p>
        </w:tc>
      </w:tr>
      <w:tr>
        <w:trPr>
          <w:trHeight w:val="144"/>
        </w:trPr>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w w:val="98"/>
              </w:rPr>
              <w:t>Operating expense - equipment lease expense</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r>
      <w:tr>
        <w:trPr>
          <w:trHeight w:val="133"/>
        </w:trPr>
        <w:tc>
          <w:tcPr>
            <w:tcW w:w="23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variable lease expense</w:t>
            </w:r>
          </w:p>
        </w:tc>
        <w:tc>
          <w:tcPr>
            <w:tcW w:w="2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1,181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1,224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3,462</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3,456</w:t>
            </w:r>
          </w:p>
        </w:tc>
      </w:tr>
      <w:tr>
        <w:trPr>
          <w:trHeight w:val="144"/>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 expense:</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4"/>
        </w:trPr>
        <w:tc>
          <w:tcPr>
            <w:tcW w:w="2340" w:type="dxa"/>
            <w:vAlign w:val="bottom"/>
            <w:gridSpan w:val="2"/>
          </w:tcPr>
          <w:p>
            <w:pPr>
              <w:spacing w:after="0"/>
              <w:rPr>
                <w:sz w:val="20"/>
                <w:szCs w:val="20"/>
                <w:color w:val="auto"/>
              </w:rPr>
            </w:pPr>
            <w:r>
              <w:rPr>
                <w:rFonts w:ascii="Arial" w:cs="Arial" w:eastAsia="Arial" w:hAnsi="Arial"/>
                <w:sz w:val="12"/>
                <w:szCs w:val="12"/>
                <w:color w:val="auto"/>
              </w:rPr>
              <w:t>Amortization of leased assets</w:t>
            </w:r>
          </w:p>
        </w:tc>
        <w:tc>
          <w:tcPr>
            <w:tcW w:w="2480" w:type="dxa"/>
            <w:vAlign w:val="bottom"/>
            <w:gridSpan w:val="2"/>
          </w:tcPr>
          <w:p>
            <w:pPr>
              <w:spacing w:after="0"/>
              <w:rPr>
                <w:sz w:val="20"/>
                <w:szCs w:val="20"/>
                <w:color w:val="auto"/>
              </w:rPr>
            </w:pPr>
            <w:r>
              <w:rPr>
                <w:rFonts w:ascii="Arial" w:cs="Arial" w:eastAsia="Arial" w:hAnsi="Arial"/>
                <w:sz w:val="12"/>
                <w:szCs w:val="12"/>
                <w:color w:val="auto"/>
              </w:rPr>
              <w:t>Depreciation and amortization expense</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2,229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6,583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1,229</w:t>
            </w: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on lease liabilities</w:t>
            </w: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2,841</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w:t>
            </w:r>
          </w:p>
        </w:tc>
      </w:tr>
      <w:tr>
        <w:trPr>
          <w:trHeight w:val="133"/>
        </w:trPr>
        <w:tc>
          <w:tcPr>
            <w:tcW w:w="2340" w:type="dxa"/>
            <w:vAlign w:val="bottom"/>
            <w:gridSpan w:val="2"/>
          </w:tcPr>
          <w:p>
            <w:pPr>
              <w:spacing w:after="0" w:line="133" w:lineRule="exact"/>
              <w:rPr>
                <w:sz w:val="20"/>
                <w:szCs w:val="20"/>
                <w:color w:val="auto"/>
              </w:rPr>
            </w:pPr>
            <w:r>
              <w:rPr>
                <w:rFonts w:ascii="Arial" w:cs="Arial" w:eastAsia="Arial" w:hAnsi="Arial"/>
                <w:sz w:val="12"/>
                <w:szCs w:val="12"/>
                <w:color w:val="auto"/>
              </w:rPr>
              <w:t>Total finance lease expense</w:t>
            </w: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3,162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937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9,424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1,772</w:t>
            </w:r>
          </w:p>
        </w:tc>
      </w:tr>
      <w:tr>
        <w:trPr>
          <w:trHeight w:val="144"/>
        </w:trPr>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r>
      <w:tr>
        <w:trPr>
          <w:trHeight w:val="140"/>
        </w:trPr>
        <w:tc>
          <w:tcPr>
            <w:tcW w:w="2340" w:type="dxa"/>
            <w:vAlign w:val="bottom"/>
            <w:gridSpan w:val="2"/>
          </w:tcPr>
          <w:p>
            <w:pPr>
              <w:spacing w:after="0" w:line="133" w:lineRule="exact"/>
              <w:rPr>
                <w:sz w:val="20"/>
                <w:szCs w:val="20"/>
                <w:color w:val="auto"/>
              </w:rPr>
            </w:pPr>
            <w:r>
              <w:rPr>
                <w:rFonts w:ascii="Arial" w:cs="Arial" w:eastAsia="Arial" w:hAnsi="Arial"/>
                <w:sz w:val="12"/>
                <w:szCs w:val="12"/>
                <w:color w:val="auto"/>
              </w:rPr>
              <w:t>Total lease expense (a)</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14,968</w:t>
            </w:r>
          </w:p>
        </w:tc>
        <w:tc>
          <w:tcPr>
            <w:tcW w:w="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14,242</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45,509</w:t>
            </w:r>
          </w:p>
        </w:tc>
        <w:tc>
          <w:tcPr>
            <w:tcW w:w="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42,370</w:t>
            </w:r>
          </w:p>
        </w:tc>
      </w:tr>
    </w:tbl>
    <w:p>
      <w:pPr>
        <w:spacing w:after="0" w:line="135" w:lineRule="exact"/>
        <w:rPr>
          <w:sz w:val="20"/>
          <w:szCs w:val="20"/>
          <w:color w:val="auto"/>
        </w:rPr>
      </w:pPr>
    </w:p>
    <w:p>
      <w:pPr>
        <w:ind w:left="480" w:right="79" w:hanging="224"/>
        <w:spacing w:after="0" w:line="263" w:lineRule="auto"/>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For the three and nine months ended April 30, 2021 Ferrellgas, L.P. also recognized $0.1 million and $0.4 million, respectively, of expense related to the accretion of lease exit costs associated with a crude oil storage agreement that is no longer being utilized, primarily due to various Midstream dispositions, and for which Ferrellgas does not anticipate any future economic benefit.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Minimum annual payments under existing operating and finance lease liabilities as of April 30, 2021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Maturities of lease liabilities</w:t>
            </w:r>
          </w:p>
        </w:tc>
        <w:tc>
          <w:tcPr>
            <w:tcW w:w="1060" w:type="dxa"/>
            <w:vAlign w:val="bottom"/>
          </w:tcPr>
          <w:p>
            <w:pPr>
              <w:jc w:val="right"/>
              <w:ind w:right="212"/>
              <w:spacing w:after="0"/>
              <w:rPr>
                <w:sz w:val="20"/>
                <w:szCs w:val="20"/>
                <w:color w:val="auto"/>
              </w:rPr>
            </w:pPr>
            <w:r>
              <w:rPr>
                <w:rFonts w:ascii="Arial" w:cs="Arial" w:eastAsia="Arial" w:hAnsi="Arial"/>
                <w:sz w:val="10"/>
                <w:szCs w:val="10"/>
                <w:b w:val="1"/>
                <w:bCs w:val="1"/>
                <w:color w:val="auto"/>
                <w:w w:val="96"/>
              </w:rPr>
              <w:t>Operating leases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Finance leases</w:t>
            </w:r>
          </w:p>
        </w:tc>
        <w:tc>
          <w:tcPr>
            <w:tcW w:w="100" w:type="dxa"/>
            <w:vAlign w:val="bottom"/>
          </w:tcPr>
          <w:p>
            <w:pPr>
              <w:spacing w:after="0"/>
              <w:rPr>
                <w:sz w:val="10"/>
                <w:szCs w:val="10"/>
                <w:color w:val="auto"/>
              </w:rPr>
            </w:pPr>
          </w:p>
        </w:tc>
        <w:tc>
          <w:tcPr>
            <w:tcW w:w="2260" w:type="dxa"/>
            <w:vAlign w:val="bottom"/>
          </w:tcPr>
          <w:p>
            <w:pPr>
              <w:jc w:val="right"/>
              <w:ind w:right="1961"/>
              <w:spacing w:after="0"/>
              <w:rPr>
                <w:sz w:val="20"/>
                <w:szCs w:val="20"/>
                <w:color w:val="auto"/>
              </w:rPr>
            </w:pPr>
            <w:r>
              <w:rPr>
                <w:rFonts w:ascii="Arial" w:cs="Arial" w:eastAsia="Arial" w:hAnsi="Arial"/>
                <w:sz w:val="10"/>
                <w:szCs w:val="10"/>
                <w:b w:val="1"/>
                <w:bCs w:val="1"/>
                <w:color w:val="auto"/>
                <w:w w:val="91"/>
              </w:rPr>
              <w:t>Total</w:t>
            </w:r>
          </w:p>
        </w:tc>
      </w:tr>
      <w:tr>
        <w:trPr>
          <w:trHeight w:val="133"/>
        </w:trPr>
        <w:tc>
          <w:tcPr>
            <w:tcW w:w="2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2021</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10,376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3,391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2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13,767</w:t>
            </w:r>
          </w:p>
        </w:tc>
      </w:tr>
      <w:tr>
        <w:trPr>
          <w:trHeight w:val="144"/>
        </w:trPr>
        <w:tc>
          <w:tcPr>
            <w:tcW w:w="2780" w:type="dxa"/>
            <w:vAlign w:val="bottom"/>
          </w:tcPr>
          <w:p>
            <w:pPr>
              <w:jc w:val="right"/>
              <w:spacing w:after="0"/>
              <w:rPr>
                <w:sz w:val="20"/>
                <w:szCs w:val="20"/>
                <w:color w:val="auto"/>
              </w:rPr>
            </w:pPr>
            <w:r>
              <w:rPr>
                <w:rFonts w:ascii="Arial" w:cs="Arial" w:eastAsia="Arial" w:hAnsi="Arial"/>
                <w:sz w:val="12"/>
                <w:szCs w:val="12"/>
                <w:color w:val="auto"/>
              </w:rPr>
              <w:t>2022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28,860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10,148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right"/>
              <w:spacing w:after="0"/>
              <w:rPr>
                <w:sz w:val="20"/>
                <w:szCs w:val="20"/>
                <w:color w:val="auto"/>
              </w:rPr>
            </w:pPr>
            <w:r>
              <w:rPr>
                <w:rFonts w:ascii="Arial" w:cs="Arial" w:eastAsia="Arial" w:hAnsi="Arial"/>
                <w:sz w:val="12"/>
                <w:szCs w:val="12"/>
                <w:color w:val="auto"/>
              </w:rPr>
              <w:t>39,008</w:t>
            </w:r>
          </w:p>
        </w:tc>
      </w:tr>
      <w:tr>
        <w:trPr>
          <w:trHeight w:val="144"/>
        </w:trPr>
        <w:tc>
          <w:tcPr>
            <w:tcW w:w="2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44,823</w:t>
            </w:r>
          </w:p>
        </w:tc>
      </w:tr>
      <w:tr>
        <w:trPr>
          <w:trHeight w:val="144"/>
        </w:trPr>
        <w:tc>
          <w:tcPr>
            <w:tcW w:w="2780" w:type="dxa"/>
            <w:vAlign w:val="bottom"/>
          </w:tcPr>
          <w:p>
            <w:pPr>
              <w:jc w:val="right"/>
              <w:spacing w:after="0"/>
              <w:rPr>
                <w:sz w:val="20"/>
                <w:szCs w:val="20"/>
                <w:color w:val="auto"/>
              </w:rPr>
            </w:pPr>
            <w:r>
              <w:rPr>
                <w:rFonts w:ascii="Arial" w:cs="Arial" w:eastAsia="Arial" w:hAnsi="Arial"/>
                <w:sz w:val="12"/>
                <w:szCs w:val="12"/>
                <w:color w:val="auto"/>
              </w:rPr>
              <w:t>2024</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7,564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right"/>
              <w:spacing w:after="0"/>
              <w:rPr>
                <w:sz w:val="20"/>
                <w:szCs w:val="20"/>
                <w:color w:val="auto"/>
              </w:rPr>
            </w:pPr>
            <w:r>
              <w:rPr>
                <w:rFonts w:ascii="Arial" w:cs="Arial" w:eastAsia="Arial" w:hAnsi="Arial"/>
                <w:sz w:val="12"/>
                <w:szCs w:val="12"/>
                <w:color w:val="auto"/>
              </w:rPr>
              <w:t>27,346</w:t>
            </w:r>
          </w:p>
        </w:tc>
      </w:tr>
      <w:tr>
        <w:trPr>
          <w:trHeight w:val="144"/>
        </w:trPr>
        <w:tc>
          <w:tcPr>
            <w:tcW w:w="2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21,520</w:t>
            </w:r>
          </w:p>
        </w:tc>
      </w:tr>
      <w:tr>
        <w:trPr>
          <w:trHeight w:val="144"/>
        </w:trPr>
        <w:tc>
          <w:tcPr>
            <w:tcW w:w="2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2"/>
                <w:szCs w:val="12"/>
                <w:color w:val="auto"/>
              </w:rPr>
              <w:t>Thereafter</w:t>
            </w:r>
          </w:p>
        </w:tc>
        <w:tc>
          <w:tcPr>
            <w:tcW w:w="10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21,931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11,559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33,490</w:t>
            </w:r>
          </w:p>
        </w:tc>
      </w:tr>
      <w:tr>
        <w:trPr>
          <w:trHeight w:val="133"/>
        </w:trPr>
        <w:tc>
          <w:tcPr>
            <w:tcW w:w="29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Total lease payments</w:t>
            </w: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131,566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48,388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2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179,954</w:t>
            </w:r>
          </w:p>
        </w:tc>
      </w:tr>
      <w:tr>
        <w:trPr>
          <w:trHeight w:val="144"/>
        </w:trPr>
        <w:tc>
          <w:tcPr>
            <w:tcW w:w="2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2"/>
                <w:szCs w:val="12"/>
                <w:color w:val="auto"/>
              </w:rPr>
              <w:t>Less: Imputed interest</w:t>
            </w:r>
          </w:p>
        </w:tc>
        <w:tc>
          <w:tcPr>
            <w:tcW w:w="10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26,399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11,369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37,768</w:t>
            </w:r>
          </w:p>
        </w:tc>
      </w:tr>
      <w:tr>
        <w:trPr>
          <w:trHeight w:val="140"/>
        </w:trPr>
        <w:tc>
          <w:tcPr>
            <w:tcW w:w="2900" w:type="dxa"/>
            <w:vAlign w:val="bottom"/>
            <w:tcBorders>
              <w:bottom w:val="single" w:sz="8" w:color="CCEEFF"/>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Present value of lease liabilities</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105,167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37,019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22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142,186</w:t>
            </w:r>
          </w:p>
        </w:tc>
      </w:tr>
      <w:tr>
        <w:trPr>
          <w:trHeight w:val="468"/>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7"/>
        </w:trPr>
        <w:tc>
          <w:tcPr>
            <w:tcW w:w="2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47" w:name="page48"/>
    <w:bookmarkEnd w:id="4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represents the weighted-average remaining lease term and discount rate as of April 30, 2021:</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gridSpan w:val="2"/>
            <w:vMerge w:val="restart"/>
          </w:tcPr>
          <w:p>
            <w:pPr>
              <w:ind w:left="1280"/>
              <w:spacing w:after="0"/>
              <w:rPr>
                <w:sz w:val="20"/>
                <w:szCs w:val="20"/>
                <w:color w:val="auto"/>
              </w:rPr>
            </w:pPr>
            <w:r>
              <w:rPr>
                <w:rFonts w:ascii="Arial" w:cs="Arial" w:eastAsia="Arial" w:hAnsi="Arial"/>
                <w:sz w:val="10"/>
                <w:szCs w:val="10"/>
                <w:b w:val="1"/>
                <w:bCs w:val="1"/>
                <w:color w:val="auto"/>
              </w:rPr>
              <w:t>Lease type</w:t>
            </w:r>
          </w:p>
        </w:tc>
        <w:tc>
          <w:tcPr>
            <w:tcW w:w="17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ind w:left="720"/>
              <w:spacing w:after="0"/>
              <w:rPr>
                <w:sz w:val="20"/>
                <w:szCs w:val="20"/>
                <w:color w:val="auto"/>
              </w:rPr>
            </w:pPr>
            <w:r>
              <w:rPr>
                <w:rFonts w:ascii="Arial" w:cs="Arial" w:eastAsia="Arial" w:hAnsi="Arial"/>
                <w:sz w:val="10"/>
                <w:szCs w:val="10"/>
                <w:b w:val="1"/>
                <w:bCs w:val="1"/>
                <w:color w:val="auto"/>
              </w:rPr>
              <w:t>As of April 30, 2021</w:t>
            </w:r>
          </w:p>
        </w:tc>
        <w:tc>
          <w:tcPr>
            <w:tcW w:w="1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140" w:type="dxa"/>
            <w:vAlign w:val="bottom"/>
            <w:gridSpan w:val="2"/>
            <w:vMerge w:val="continue"/>
          </w:tcPr>
          <w:p>
            <w:pPr>
              <w:spacing w:after="0"/>
              <w:rPr>
                <w:sz w:val="7"/>
                <w:szCs w:val="7"/>
                <w:color w:val="auto"/>
              </w:rPr>
            </w:pPr>
          </w:p>
        </w:tc>
        <w:tc>
          <w:tcPr>
            <w:tcW w:w="2940" w:type="dxa"/>
            <w:vAlign w:val="bottom"/>
            <w:gridSpan w:val="2"/>
          </w:tcPr>
          <w:p>
            <w:pPr>
              <w:jc w:val="right"/>
              <w:ind w:right="252"/>
              <w:spacing w:after="0" w:line="88" w:lineRule="exact"/>
              <w:rPr>
                <w:sz w:val="20"/>
                <w:szCs w:val="20"/>
                <w:color w:val="auto"/>
              </w:rPr>
            </w:pPr>
            <w:r>
              <w:rPr>
                <w:rFonts w:ascii="Arial" w:cs="Arial" w:eastAsia="Arial" w:hAnsi="Arial"/>
                <w:sz w:val="10"/>
                <w:szCs w:val="10"/>
                <w:b w:val="1"/>
                <w:bCs w:val="1"/>
                <w:color w:val="auto"/>
              </w:rPr>
              <w:t>Weighted-average remaining lease term (years)</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jc w:val="right"/>
              <w:ind w:right="32"/>
              <w:spacing w:after="0" w:line="88" w:lineRule="exact"/>
              <w:rPr>
                <w:sz w:val="20"/>
                <w:szCs w:val="20"/>
                <w:color w:val="auto"/>
              </w:rPr>
            </w:pPr>
            <w:r>
              <w:rPr>
                <w:rFonts w:ascii="Arial" w:cs="Arial" w:eastAsia="Arial" w:hAnsi="Arial"/>
                <w:sz w:val="10"/>
                <w:szCs w:val="10"/>
                <w:b w:val="1"/>
                <w:bCs w:val="1"/>
                <w:color w:val="auto"/>
                <w:w w:val="92"/>
              </w:rPr>
              <w:t>Weighted-average discount rate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Operating leases</w:t>
            </w:r>
          </w:p>
        </w:tc>
        <w:tc>
          <w:tcPr>
            <w:tcW w:w="14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rPr>
              <w:t>Finance leases</w:t>
            </w:r>
          </w:p>
        </w:tc>
        <w:tc>
          <w:tcPr>
            <w:tcW w:w="1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79"/>
        </w:trPr>
        <w:tc>
          <w:tcPr>
            <w:tcW w:w="3140" w:type="dxa"/>
            <w:vAlign w:val="bottom"/>
            <w:gridSpan w:val="2"/>
          </w:tcPr>
          <w:p>
            <w:pPr>
              <w:spacing w:after="0"/>
              <w:rPr>
                <w:sz w:val="20"/>
                <w:szCs w:val="20"/>
                <w:color w:val="auto"/>
              </w:rPr>
            </w:pPr>
            <w:r>
              <w:rPr>
                <w:rFonts w:ascii="Arial" w:cs="Arial" w:eastAsia="Arial" w:hAnsi="Arial"/>
                <w:sz w:val="12"/>
                <w:szCs w:val="12"/>
                <w:color w:val="auto"/>
              </w:rPr>
              <w:t>Cash flow information is presented below:</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812"/>
              <w:spacing w:after="0"/>
              <w:rPr>
                <w:sz w:val="20"/>
                <w:szCs w:val="20"/>
                <w:color w:val="auto"/>
              </w:rPr>
            </w:pPr>
            <w:r>
              <w:rPr>
                <w:rFonts w:ascii="Arial" w:cs="Arial" w:eastAsia="Arial" w:hAnsi="Arial"/>
                <w:sz w:val="10"/>
                <w:szCs w:val="10"/>
                <w:b w:val="1"/>
                <w:bCs w:val="1"/>
                <w:color w:val="auto"/>
                <w:w w:val="91"/>
              </w:rPr>
              <w:t>For the nine months ended April 30,</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4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right"/>
              <w:ind w:right="392"/>
              <w:spacing w:after="0"/>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920" w:type="dxa"/>
            <w:vAlign w:val="bottom"/>
            <w:tcBorders>
              <w:top w:val="single" w:sz="8" w:color="CCEEFF"/>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Cash paid for amounts included in the measurement of lease liabilities for operating leases:</w:t>
            </w:r>
          </w:p>
        </w:tc>
        <w:tc>
          <w:tcPr>
            <w:tcW w:w="1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40" w:type="dxa"/>
            <w:vAlign w:val="bottom"/>
            <w:gridSpan w:val="2"/>
          </w:tcPr>
          <w:p>
            <w:pPr>
              <w:spacing w:after="0"/>
              <w:rPr>
                <w:sz w:val="20"/>
                <w:szCs w:val="20"/>
                <w:color w:val="auto"/>
              </w:rPr>
            </w:pPr>
            <w:r>
              <w:rPr>
                <w:rFonts w:ascii="Arial" w:cs="Arial" w:eastAsia="Arial" w:hAnsi="Arial"/>
                <w:sz w:val="12"/>
                <w:szCs w:val="12"/>
                <w:color w:val="auto"/>
              </w:rPr>
              <w:t>Operating cash flows</w:t>
            </w:r>
          </w:p>
        </w:tc>
        <w:tc>
          <w:tcPr>
            <w:tcW w:w="2940" w:type="dxa"/>
            <w:vAlign w:val="bottom"/>
            <w:gridSpan w:val="2"/>
          </w:tcPr>
          <w:p>
            <w:pPr>
              <w:jc w:val="right"/>
              <w:ind w:right="105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26,454</w:t>
            </w:r>
          </w:p>
        </w:tc>
        <w:tc>
          <w:tcPr>
            <w:tcW w:w="180" w:type="dxa"/>
            <w:vAlign w:val="bottom"/>
          </w:tcPr>
          <w:p>
            <w:pPr>
              <w:spacing w:after="0"/>
              <w:rPr>
                <w:sz w:val="12"/>
                <w:szCs w:val="12"/>
                <w:color w:val="auto"/>
              </w:rPr>
            </w:pPr>
          </w:p>
        </w:tc>
        <w:tc>
          <w:tcPr>
            <w:tcW w:w="1500" w:type="dxa"/>
            <w:vAlign w:val="bottom"/>
          </w:tcPr>
          <w:p>
            <w:pPr>
              <w:jc w:val="right"/>
              <w:ind w:right="139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32,104</w:t>
            </w:r>
          </w:p>
        </w:tc>
        <w:tc>
          <w:tcPr>
            <w:tcW w:w="0" w:type="dxa"/>
            <w:vAlign w:val="bottom"/>
          </w:tcPr>
          <w:p>
            <w:pPr>
              <w:spacing w:after="0"/>
              <w:rPr>
                <w:sz w:val="1"/>
                <w:szCs w:val="1"/>
                <w:color w:val="auto"/>
              </w:rPr>
            </w:pPr>
          </w:p>
        </w:tc>
      </w:tr>
      <w:tr>
        <w:trPr>
          <w:trHeight w:val="144"/>
        </w:trPr>
        <w:tc>
          <w:tcPr>
            <w:tcW w:w="4920" w:type="dxa"/>
            <w:vAlign w:val="bottom"/>
            <w:gridSpan w:val="3"/>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4"/>
          </w:tcPr>
          <w:p>
            <w:pPr>
              <w:spacing w:after="0"/>
              <w:rPr>
                <w:sz w:val="20"/>
                <w:szCs w:val="20"/>
                <w:color w:val="auto"/>
              </w:rPr>
            </w:pPr>
            <w:r>
              <w:rPr>
                <w:rFonts w:ascii="Arial" w:cs="Arial" w:eastAsia="Arial" w:hAnsi="Arial"/>
                <w:sz w:val="12"/>
                <w:szCs w:val="12"/>
                <w:color w:val="auto"/>
              </w:rPr>
              <w:t>Cash paid for amounts included in the measurement of lease liabilities for financing leases: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cash flows</w:t>
            </w:r>
          </w:p>
        </w:tc>
        <w:tc>
          <w:tcPr>
            <w:tcW w:w="2940" w:type="dxa"/>
            <w:vAlign w:val="bottom"/>
            <w:gridSpan w:val="2"/>
            <w:shd w:val="clear" w:color="auto" w:fill="CCEEFF"/>
          </w:tcPr>
          <w:p>
            <w:pPr>
              <w:jc w:val="right"/>
              <w:ind w:right="1052"/>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2,571</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139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rPr>
              <w:t>Financing cash flows</w:t>
            </w:r>
          </w:p>
        </w:tc>
        <w:tc>
          <w:tcPr>
            <w:tcW w:w="2940" w:type="dxa"/>
            <w:vAlign w:val="bottom"/>
            <w:gridSpan w:val="2"/>
          </w:tcPr>
          <w:p>
            <w:pPr>
              <w:jc w:val="right"/>
              <w:ind w:right="105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5,282</w:t>
            </w:r>
          </w:p>
        </w:tc>
        <w:tc>
          <w:tcPr>
            <w:tcW w:w="180" w:type="dxa"/>
            <w:vAlign w:val="bottom"/>
          </w:tcPr>
          <w:p>
            <w:pPr>
              <w:spacing w:after="0"/>
              <w:rPr>
                <w:sz w:val="13"/>
                <w:szCs w:val="13"/>
                <w:color w:val="auto"/>
              </w:rPr>
            </w:pPr>
          </w:p>
        </w:tc>
        <w:tc>
          <w:tcPr>
            <w:tcW w:w="1500" w:type="dxa"/>
            <w:vAlign w:val="bottom"/>
          </w:tcPr>
          <w:p>
            <w:pPr>
              <w:jc w:val="right"/>
              <w:ind w:right="139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hanging="238"/>
        <w:spacing w:after="0"/>
        <w:tabs>
          <w:tab w:leader="none" w:pos="260"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Supplemental financial statement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Inventories consist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 2021</w:t>
            </w:r>
          </w:p>
        </w:tc>
        <w:tc>
          <w:tcPr>
            <w:tcW w:w="140" w:type="dxa"/>
            <w:vAlign w:val="bottom"/>
          </w:tcPr>
          <w:p>
            <w:pPr>
              <w:spacing w:after="0"/>
              <w:rPr>
                <w:sz w:val="10"/>
                <w:szCs w:val="10"/>
                <w:color w:val="auto"/>
              </w:rPr>
            </w:pPr>
          </w:p>
        </w:tc>
        <w:tc>
          <w:tcPr>
            <w:tcW w:w="800" w:type="dxa"/>
            <w:vAlign w:val="bottom"/>
          </w:tcPr>
          <w:p>
            <w:pPr>
              <w:jc w:val="right"/>
              <w:ind w:right="143"/>
              <w:spacing w:after="0"/>
              <w:rPr>
                <w:sz w:val="20"/>
                <w:szCs w:val="20"/>
                <w:color w:val="auto"/>
              </w:rPr>
            </w:pPr>
            <w:r>
              <w:rPr>
                <w:rFonts w:ascii="Arial" w:cs="Arial" w:eastAsia="Arial" w:hAnsi="Arial"/>
                <w:sz w:val="10"/>
                <w:szCs w:val="10"/>
                <w:b w:val="1"/>
                <w:bCs w:val="1"/>
                <w:color w:val="auto"/>
                <w:w w:val="93"/>
              </w:rPr>
              <w:t>July 31, 2020</w:t>
            </w:r>
          </w:p>
        </w:tc>
      </w:tr>
      <w:tr>
        <w:trPr>
          <w:trHeight w:val="133"/>
        </w:trPr>
        <w:tc>
          <w:tcPr>
            <w:tcW w:w="67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Propane gas and related products</w:t>
            </w: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56,369</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58,733</w:t>
            </w:r>
          </w:p>
        </w:tc>
      </w:tr>
      <w:tr>
        <w:trPr>
          <w:trHeight w:val="144"/>
        </w:trPr>
        <w:tc>
          <w:tcPr>
            <w:tcW w:w="6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Appliances, parts and supplies, and other</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13,931</w:t>
            </w:r>
          </w:p>
        </w:tc>
      </w:tr>
      <w:tr>
        <w:trPr>
          <w:trHeight w:val="140"/>
        </w:trPr>
        <w:tc>
          <w:tcPr>
            <w:tcW w:w="678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Inventories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69,742</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72,664</w:t>
            </w:r>
          </w:p>
        </w:tc>
      </w:tr>
    </w:tbl>
    <w:p>
      <w:pPr>
        <w:spacing w:after="0" w:line="135"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In addition to inventories on hand, Ferrellgas, L.P. enters into contracts to take delivery of propane for supply procurement purposes with terms that generally do not exceed 36 months. Most of these contracts call for payment based on market prices at the date of delivery. As of April 30, 2021, Ferrellgas, L.P. had committed, for supply procurement purposes, to take delivery of approximately 11.6 million gallons of propane at fixed prices.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Prepaid expenses and other current assets consist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0"/>
                <w:szCs w:val="10"/>
                <w:b w:val="1"/>
                <w:bCs w:val="1"/>
                <w:color w:val="auto"/>
              </w:rPr>
              <w:t>April 30, 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82"/>
              <w:spacing w:after="0"/>
              <w:rPr>
                <w:sz w:val="20"/>
                <w:szCs w:val="20"/>
                <w:color w:val="auto"/>
              </w:rPr>
            </w:pPr>
            <w:r>
              <w:rPr>
                <w:rFonts w:ascii="Arial" w:cs="Arial" w:eastAsia="Arial" w:hAnsi="Arial"/>
                <w:sz w:val="10"/>
                <w:szCs w:val="10"/>
                <w:b w:val="1"/>
                <w:bCs w:val="1"/>
                <w:color w:val="auto"/>
                <w:w w:val="90"/>
              </w:rPr>
              <w:t>July 31, 2020</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Broker margin deposit assets</w:t>
            </w:r>
          </w:p>
        </w:tc>
        <w:tc>
          <w:tcPr>
            <w:tcW w:w="3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14,972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14,398</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Price risk management asset</w:t>
            </w: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29,612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2,846</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3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29,380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18,653</w:t>
            </w:r>
          </w:p>
        </w:tc>
      </w:tr>
      <w:tr>
        <w:trPr>
          <w:trHeight w:val="140"/>
        </w:trPr>
        <w:tc>
          <w:tcPr>
            <w:tcW w:w="3380" w:type="dxa"/>
            <w:vAlign w:val="bottom"/>
          </w:tcPr>
          <w:p>
            <w:pPr>
              <w:ind w:left="80"/>
              <w:spacing w:after="0" w:line="133" w:lineRule="exact"/>
              <w:rPr>
                <w:sz w:val="20"/>
                <w:szCs w:val="20"/>
                <w:color w:val="auto"/>
              </w:rPr>
            </w:pPr>
            <w:r>
              <w:rPr>
                <w:rFonts w:ascii="Arial" w:cs="Arial" w:eastAsia="Arial" w:hAnsi="Arial"/>
                <w:sz w:val="12"/>
                <w:szCs w:val="12"/>
                <w:color w:val="auto"/>
              </w:rPr>
              <w:t>Prepaid expenses and other current assets</w:t>
            </w:r>
          </w:p>
        </w:tc>
        <w:tc>
          <w:tcPr>
            <w:tcW w:w="33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73,964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35,897</w:t>
            </w:r>
          </w:p>
        </w:tc>
      </w:tr>
      <w:tr>
        <w:trPr>
          <w:trHeight w:val="288"/>
        </w:trPr>
        <w:tc>
          <w:tcPr>
            <w:tcW w:w="3380" w:type="dxa"/>
            <w:vAlign w:val="bottom"/>
          </w:tcPr>
          <w:p>
            <w:pPr>
              <w:spacing w:after="0"/>
              <w:rPr>
                <w:sz w:val="20"/>
                <w:szCs w:val="20"/>
                <w:color w:val="auto"/>
              </w:rPr>
            </w:pPr>
            <w:r>
              <w:rPr>
                <w:rFonts w:ascii="Arial" w:cs="Arial" w:eastAsia="Arial" w:hAnsi="Arial"/>
                <w:sz w:val="12"/>
                <w:szCs w:val="12"/>
                <w:color w:val="auto"/>
              </w:rPr>
              <w:t>Other current liabilities consist of the following:</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2"/>
        </w:trPr>
        <w:tc>
          <w:tcPr>
            <w:tcW w:w="3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ind w:left="120"/>
              <w:spacing w:after="0"/>
              <w:rPr>
                <w:sz w:val="20"/>
                <w:szCs w:val="20"/>
                <w:color w:val="auto"/>
              </w:rPr>
            </w:pPr>
            <w:r>
              <w:rPr>
                <w:rFonts w:ascii="Arial" w:cs="Arial" w:eastAsia="Arial" w:hAnsi="Arial"/>
                <w:sz w:val="10"/>
                <w:szCs w:val="10"/>
                <w:b w:val="1"/>
                <w:bCs w:val="1"/>
                <w:color w:val="auto"/>
              </w:rPr>
              <w:t>April 30, 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4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Accrued interest</w:t>
            </w:r>
          </w:p>
        </w:tc>
        <w:tc>
          <w:tcPr>
            <w:tcW w:w="34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7,754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34,511</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Customer deposits and advances</w:t>
            </w: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29,296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32,257</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Accrued payroll</w:t>
            </w:r>
          </w:p>
        </w:tc>
        <w:tc>
          <w:tcPr>
            <w:tcW w:w="3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22,646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18,375</w:t>
            </w: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Accrued insurance</w:t>
            </w: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11,305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14,796</w:t>
            </w:r>
          </w:p>
        </w:tc>
      </w:tr>
      <w:tr>
        <w:trPr>
          <w:trHeight w:val="144"/>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Broker margin deposit liability</w:t>
            </w:r>
          </w:p>
        </w:tc>
        <w:tc>
          <w:tcPr>
            <w:tcW w:w="3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r>
      <w:tr>
        <w:trPr>
          <w:trHeight w:val="144"/>
        </w:trPr>
        <w:tc>
          <w:tcPr>
            <w:tcW w:w="3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3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69,818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47,687</w:t>
            </w:r>
          </w:p>
        </w:tc>
      </w:tr>
      <w:tr>
        <w:trPr>
          <w:trHeight w:val="153"/>
        </w:trPr>
        <w:tc>
          <w:tcPr>
            <w:tcW w:w="338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Other current liabilities</w:t>
            </w:r>
          </w:p>
        </w:tc>
        <w:tc>
          <w:tcPr>
            <w:tcW w:w="342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175,400</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148,136</w:t>
            </w:r>
          </w:p>
        </w:tc>
      </w:tr>
      <w:tr>
        <w:trPr>
          <w:trHeight w:val="455"/>
        </w:trPr>
        <w:tc>
          <w:tcPr>
            <w:tcW w:w="3380" w:type="dxa"/>
            <w:vAlign w:val="bottom"/>
          </w:tcPr>
          <w:p>
            <w:pPr>
              <w:spacing w:after="0"/>
              <w:rPr>
                <w:sz w:val="24"/>
                <w:szCs w:val="24"/>
                <w:color w:val="auto"/>
              </w:rPr>
            </w:pPr>
          </w:p>
        </w:tc>
        <w:tc>
          <w:tcPr>
            <w:tcW w:w="3340" w:type="dxa"/>
            <w:vAlign w:val="bottom"/>
          </w:tcPr>
          <w:p>
            <w:pPr>
              <w:jc w:val="right"/>
              <w:ind w:right="212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7"/>
        </w:trPr>
        <w:tc>
          <w:tcPr>
            <w:tcW w:w="3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48" w:name="page49"/>
    <w:bookmarkEnd w:id="4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Shipping and handling expenses are classified in the following condensed consolidated statements of operations line items: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5"/>
          </w:tcPr>
          <w:p>
            <w:pPr>
              <w:jc w:val="right"/>
              <w:ind w:right="132"/>
              <w:spacing w:after="0"/>
              <w:rPr>
                <w:sz w:val="20"/>
                <w:szCs w:val="20"/>
                <w:color w:val="auto"/>
              </w:rPr>
            </w:pPr>
            <w:r>
              <w:rPr>
                <w:rFonts w:ascii="Arial" w:cs="Arial" w:eastAsia="Arial" w:hAnsi="Arial"/>
                <w:sz w:val="10"/>
                <w:szCs w:val="10"/>
                <w:b w:val="1"/>
                <w:bCs w:val="1"/>
                <w:color w:val="auto"/>
                <w:w w:val="88"/>
              </w:rPr>
              <w:t>For the three months ended April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7"/>
          </w:tcPr>
          <w:p>
            <w:pPr>
              <w:ind w:left="8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500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04"/>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22"/>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top w:val="single" w:sz="8" w:color="auto"/>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03"/>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860" w:type="dxa"/>
            <w:vAlign w:val="bottom"/>
            <w:tcBorders>
              <w:top w:val="single" w:sz="8" w:color="auto"/>
              <w:bottom w:val="single" w:sz="8" w:color="auto"/>
            </w:tcBorders>
          </w:tcPr>
          <w:p>
            <w:pPr>
              <w:jc w:val="right"/>
              <w:ind w:right="363"/>
              <w:spacing w:after="0" w:line="88" w:lineRule="exact"/>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CCEEFF"/>
            </w:tcBorders>
          </w:tcPr>
          <w:p>
            <w:pPr>
              <w:spacing w:after="0"/>
              <w:rPr>
                <w:sz w:val="7"/>
                <w:szCs w:val="7"/>
                <w:color w:val="auto"/>
              </w:rPr>
            </w:pPr>
          </w:p>
        </w:tc>
      </w:tr>
      <w:tr>
        <w:trPr>
          <w:trHeight w:val="133"/>
        </w:trPr>
        <w:tc>
          <w:tcPr>
            <w:tcW w:w="5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 - personnel, vehicle, plant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56,989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54,664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161,242</w:t>
            </w:r>
          </w:p>
        </w:tc>
        <w:tc>
          <w:tcPr>
            <w:tcW w:w="1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167,666</w:t>
            </w:r>
          </w:p>
        </w:tc>
        <w:tc>
          <w:tcPr>
            <w:tcW w:w="20" w:type="dxa"/>
            <w:vAlign w:val="bottom"/>
            <w:shd w:val="clear" w:color="auto" w:fill="CCEEFF"/>
          </w:tcPr>
          <w:p>
            <w:pPr>
              <w:spacing w:after="0"/>
              <w:rPr>
                <w:sz w:val="11"/>
                <w:szCs w:val="11"/>
                <w:color w:val="auto"/>
              </w:rPr>
            </w:pP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Depreciation and amortization expense</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3,347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9,828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5,883</w:t>
            </w:r>
          </w:p>
        </w:tc>
        <w:tc>
          <w:tcPr>
            <w:tcW w:w="20" w:type="dxa"/>
            <w:vAlign w:val="bottom"/>
          </w:tcPr>
          <w:p>
            <w:pPr>
              <w:spacing w:after="0"/>
              <w:rPr>
                <w:sz w:val="12"/>
                <w:szCs w:val="12"/>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 - equipment lease expense</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5,551</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8,308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17,227</w:t>
            </w:r>
          </w:p>
        </w:tc>
        <w:tc>
          <w:tcPr>
            <w:tcW w:w="1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23,934</w:t>
            </w:r>
          </w:p>
        </w:tc>
        <w:tc>
          <w:tcPr>
            <w:tcW w:w="20" w:type="dxa"/>
            <w:vAlign w:val="bottom"/>
            <w:shd w:val="clear" w:color="auto" w:fill="CCEEFF"/>
          </w:tcPr>
          <w:p>
            <w:pPr>
              <w:spacing w:after="0"/>
              <w:rPr>
                <w:sz w:val="12"/>
                <w:szCs w:val="12"/>
                <w:color w:val="auto"/>
              </w:rPr>
            </w:pPr>
          </w:p>
        </w:tc>
      </w:tr>
      <w:tr>
        <w:trPr>
          <w:trHeight w:val="140"/>
        </w:trPr>
        <w:tc>
          <w:tcPr>
            <w:tcW w:w="50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65,887</w:t>
            </w:r>
          </w:p>
        </w:tc>
        <w:tc>
          <w:tcPr>
            <w:tcW w:w="14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64,979</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188,297</w:t>
            </w:r>
          </w:p>
        </w:tc>
        <w:tc>
          <w:tcPr>
            <w:tcW w:w="14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197,483</w:t>
            </w:r>
          </w:p>
        </w:tc>
        <w:tc>
          <w:tcPr>
            <w:tcW w:w="20" w:type="dxa"/>
            <w:vAlign w:val="bottom"/>
          </w:tcPr>
          <w:p>
            <w:pPr>
              <w:spacing w:after="0"/>
              <w:rPr>
                <w:sz w:val="12"/>
                <w:szCs w:val="12"/>
                <w:color w:val="auto"/>
              </w:rPr>
            </w:pPr>
          </w:p>
        </w:tc>
      </w:tr>
      <w:tr>
        <w:trPr>
          <w:trHeight w:val="288"/>
        </w:trPr>
        <w:tc>
          <w:tcPr>
            <w:tcW w:w="5000" w:type="dxa"/>
            <w:vAlign w:val="bottom"/>
          </w:tcPr>
          <w:p>
            <w:pPr>
              <w:spacing w:after="0"/>
              <w:rPr>
                <w:sz w:val="20"/>
                <w:szCs w:val="20"/>
                <w:color w:val="auto"/>
              </w:rPr>
            </w:pPr>
            <w:r>
              <w:rPr>
                <w:rFonts w:ascii="Arial" w:cs="Arial" w:eastAsia="Arial" w:hAnsi="Arial"/>
                <w:sz w:val="12"/>
                <w:szCs w:val="12"/>
                <w:color w:val="auto"/>
              </w:rPr>
              <w:t>Cash and cash equivalents consist of the following: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ind w:left="100"/>
              <w:spacing w:after="0"/>
              <w:rPr>
                <w:sz w:val="20"/>
                <w:szCs w:val="20"/>
                <w:color w:val="auto"/>
              </w:rPr>
            </w:pPr>
            <w:r>
              <w:rPr>
                <w:rFonts w:ascii="Arial" w:cs="Arial" w:eastAsia="Arial" w:hAnsi="Arial"/>
                <w:sz w:val="10"/>
                <w:szCs w:val="10"/>
                <w:b w:val="1"/>
                <w:bCs w:val="1"/>
                <w:color w:val="auto"/>
              </w:rPr>
              <w:t>April 30,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July 31, 2020</w:t>
            </w:r>
          </w:p>
        </w:tc>
      </w:tr>
      <w:tr>
        <w:trPr>
          <w:trHeight w:val="133"/>
        </w:trPr>
        <w:tc>
          <w:tcPr>
            <w:tcW w:w="5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198,751</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237,996</w:t>
            </w:r>
          </w:p>
        </w:tc>
        <w:tc>
          <w:tcPr>
            <w:tcW w:w="20" w:type="dxa"/>
            <w:vAlign w:val="bottom"/>
            <w:tcBorders>
              <w:top w:val="single" w:sz="8" w:color="auto"/>
            </w:tcBorders>
            <w:shd w:val="clear" w:color="auto" w:fill="CCEEFF"/>
          </w:tcPr>
          <w:p>
            <w:pPr>
              <w:spacing w:after="0"/>
              <w:rPr>
                <w:sz w:val="11"/>
                <w:szCs w:val="11"/>
                <w:color w:val="auto"/>
              </w:rPr>
            </w:pPr>
          </w:p>
        </w:tc>
      </w:tr>
      <w:tr>
        <w:trPr>
          <w:trHeight w:val="144"/>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cash (1)</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11,500</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95,759</w:t>
            </w:r>
          </w:p>
        </w:tc>
        <w:tc>
          <w:tcPr>
            <w:tcW w:w="20" w:type="dxa"/>
            <w:vAlign w:val="bottom"/>
            <w:tcBorders>
              <w:bottom w:val="single" w:sz="8" w:color="auto"/>
            </w:tcBorders>
          </w:tcPr>
          <w:p>
            <w:pPr>
              <w:spacing w:after="0"/>
              <w:rPr>
                <w:sz w:val="12"/>
                <w:szCs w:val="12"/>
                <w:color w:val="auto"/>
              </w:rPr>
            </w:pPr>
          </w:p>
        </w:tc>
      </w:tr>
      <w:tr>
        <w:trPr>
          <w:trHeight w:val="140"/>
        </w:trPr>
        <w:tc>
          <w:tcPr>
            <w:tcW w:w="50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cash equivalents and restricted cash</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210,251</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333,755</w:t>
            </w:r>
          </w:p>
        </w:tc>
        <w:tc>
          <w:tcPr>
            <w:tcW w:w="20" w:type="dxa"/>
            <w:vAlign w:val="bottom"/>
            <w:tcBorders>
              <w:bottom w:val="single" w:sz="8" w:color="auto"/>
            </w:tcBorders>
            <w:shd w:val="clear" w:color="auto" w:fill="CCEEFF"/>
          </w:tcPr>
          <w:p>
            <w:pPr>
              <w:spacing w:after="0"/>
              <w:rPr>
                <w:sz w:val="12"/>
                <w:szCs w:val="12"/>
                <w:color w:val="auto"/>
              </w:rPr>
            </w:pPr>
          </w:p>
        </w:tc>
      </w:tr>
    </w:tbl>
    <w:p>
      <w:pPr>
        <w:spacing w:after="0" w:line="135" w:lineRule="exact"/>
        <w:rPr>
          <w:sz w:val="20"/>
          <w:szCs w:val="20"/>
          <w:color w:val="auto"/>
        </w:rPr>
      </w:pPr>
    </w:p>
    <w:p>
      <w:pPr>
        <w:ind w:left="480" w:right="219" w:hanging="224"/>
        <w:spacing w:after="0" w:line="256" w:lineRule="auto"/>
        <w:tabs>
          <w:tab w:leader="none" w:pos="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of April 30, 2021, restricted cash includes an $11.5 million cash deposit made with the administrative agent under the operating partnership’s senior secured credit facility that was terminated in April 2020, which may be used by the administrative agent to pay contingent obligations arising under the financing agreement that governed the terminated senior secured credit facility. As of July 31, 2020, the $95.8 million of restricted cash includes $78.2 million of pledged cash collateral for letters of credit outstanding, the $11.5 million cash deposit made with the administrative agent under the terminated senior secured credit facility and $6.1 million of additional pledged collateral. For additional discussion see Note F – Debt.</w:t>
      </w:r>
    </w:p>
    <w:p>
      <w:pPr>
        <w:spacing w:after="0" w:line="128"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For purposes of the condensed consolidated statements of cash flows, Ferrellgas, L.P. considers cash equivalents to include all highly liquid debt instruments purchased with an original maturity of three months or less. Certain cash flow and significant non-cash activities are presented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6"/>
          </w:tcPr>
          <w:p>
            <w:pPr>
              <w:jc w:val="right"/>
              <w:ind w:right="362"/>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240" w:type="dxa"/>
            <w:vAlign w:val="bottom"/>
            <w:tcBorders>
              <w:bottom w:val="single" w:sz="8" w:color="CCEEFF"/>
            </w:tcBorders>
          </w:tcPr>
          <w:p>
            <w:pPr>
              <w:spacing w:after="0"/>
              <w:rPr>
                <w:sz w:val="7"/>
                <w:szCs w:val="7"/>
                <w:color w:val="auto"/>
              </w:rPr>
            </w:pPr>
          </w:p>
        </w:tc>
        <w:tc>
          <w:tcPr>
            <w:tcW w:w="1760" w:type="dxa"/>
            <w:vAlign w:val="bottom"/>
            <w:tcBorders>
              <w:bottom w:val="single" w:sz="8" w:color="CCEEFF"/>
            </w:tcBorders>
          </w:tcPr>
          <w:p>
            <w:pPr>
              <w:spacing w:after="0"/>
              <w:rPr>
                <w:sz w:val="7"/>
                <w:szCs w:val="7"/>
                <w:color w:val="auto"/>
              </w:rPr>
            </w:pPr>
          </w:p>
        </w:tc>
        <w:tc>
          <w:tcPr>
            <w:tcW w:w="460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22"/>
              <w:spacing w:after="0" w:line="88" w:lineRule="exact"/>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422"/>
              <w:spacing w:after="0" w:line="88" w:lineRule="exact"/>
              <w:rPr>
                <w:sz w:val="20"/>
                <w:szCs w:val="20"/>
                <w:color w:val="auto"/>
              </w:rPr>
            </w:pPr>
            <w:r>
              <w:rPr>
                <w:rFonts w:ascii="Arial" w:cs="Arial" w:eastAsia="Arial" w:hAnsi="Arial"/>
                <w:sz w:val="10"/>
                <w:szCs w:val="10"/>
                <w:b w:val="1"/>
                <w:bCs w:val="1"/>
                <w:color w:val="auto"/>
              </w:rPr>
              <w:t>2020</w:t>
            </w:r>
          </w:p>
        </w:tc>
      </w:tr>
      <w:tr>
        <w:trPr>
          <w:trHeight w:val="133"/>
        </w:trPr>
        <w:tc>
          <w:tcPr>
            <w:tcW w:w="660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Cash paid for:</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6600" w:type="dxa"/>
            <w:vAlign w:val="bottom"/>
            <w:gridSpan w:val="3"/>
          </w:tcPr>
          <w:p>
            <w:pPr>
              <w:ind w:left="60"/>
              <w:spacing w:after="0"/>
              <w:rPr>
                <w:sz w:val="20"/>
                <w:szCs w:val="20"/>
                <w:color w:val="auto"/>
              </w:rPr>
            </w:pPr>
            <w:r>
              <w:rPr>
                <w:rFonts w:ascii="Arial" w:cs="Arial" w:eastAsia="Arial" w:hAnsi="Arial"/>
                <w:sz w:val="12"/>
                <w:szCs w:val="12"/>
                <w:color w:val="auto"/>
              </w:rPr>
              <w:t>Interest</w:t>
            </w:r>
          </w:p>
        </w:tc>
        <w:tc>
          <w:tcPr>
            <w:tcW w:w="2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154,834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81,023</w:t>
            </w:r>
          </w:p>
        </w:tc>
      </w:tr>
      <w:tr>
        <w:trPr>
          <w:trHeight w:val="144"/>
        </w:trPr>
        <w:tc>
          <w:tcPr>
            <w:tcW w:w="66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Income taxes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6600" w:type="dxa"/>
            <w:vAlign w:val="bottom"/>
            <w:gridSpan w:val="3"/>
          </w:tcPr>
          <w:p>
            <w:pPr>
              <w:spacing w:after="0"/>
              <w:rPr>
                <w:sz w:val="20"/>
                <w:szCs w:val="20"/>
                <w:color w:val="auto"/>
              </w:rPr>
            </w:pPr>
            <w:r>
              <w:rPr>
                <w:rFonts w:ascii="Arial" w:cs="Arial" w:eastAsia="Arial" w:hAnsi="Arial"/>
                <w:sz w:val="12"/>
                <w:szCs w:val="12"/>
                <w:color w:val="auto"/>
              </w:rPr>
              <w:t>Non-cash investing and financing activities: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6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Liability incurred in connection with Financing Agreement amendment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8,863</w:t>
            </w:r>
          </w:p>
        </w:tc>
      </w:tr>
      <w:tr>
        <w:trPr>
          <w:trHeight w:val="144"/>
        </w:trPr>
        <w:tc>
          <w:tcPr>
            <w:tcW w:w="6600" w:type="dxa"/>
            <w:vAlign w:val="bottom"/>
            <w:gridSpan w:val="3"/>
          </w:tcPr>
          <w:p>
            <w:pPr>
              <w:ind w:left="60"/>
              <w:spacing w:after="0"/>
              <w:rPr>
                <w:sz w:val="20"/>
                <w:szCs w:val="20"/>
                <w:color w:val="auto"/>
              </w:rPr>
            </w:pPr>
            <w:r>
              <w:rPr>
                <w:rFonts w:ascii="Arial" w:cs="Arial" w:eastAsia="Arial" w:hAnsi="Arial"/>
                <w:sz w:val="12"/>
                <w:szCs w:val="12"/>
                <w:color w:val="auto"/>
              </w:rPr>
              <w:t>Change in accruals for property, plant and equipment additions</w:t>
            </w:r>
          </w:p>
        </w:tc>
        <w:tc>
          <w:tcPr>
            <w:tcW w:w="2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486</w:t>
            </w:r>
          </w:p>
        </w:tc>
      </w:tr>
      <w:tr>
        <w:trPr>
          <w:trHeight w:val="144"/>
        </w:trPr>
        <w:tc>
          <w:tcPr>
            <w:tcW w:w="66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Lease liabilities arising from operating right-of-use assets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20,886</w:t>
            </w:r>
          </w:p>
        </w:tc>
      </w:tr>
      <w:tr>
        <w:trPr>
          <w:trHeight w:val="144"/>
        </w:trPr>
        <w:tc>
          <w:tcPr>
            <w:tcW w:w="6600" w:type="dxa"/>
            <w:vAlign w:val="bottom"/>
            <w:gridSpan w:val="3"/>
          </w:tcPr>
          <w:p>
            <w:pPr>
              <w:ind w:left="60"/>
              <w:spacing w:after="0"/>
              <w:rPr>
                <w:sz w:val="20"/>
                <w:szCs w:val="20"/>
                <w:color w:val="auto"/>
              </w:rPr>
            </w:pPr>
            <w:r>
              <w:rPr>
                <w:rFonts w:ascii="Arial" w:cs="Arial" w:eastAsia="Arial" w:hAnsi="Arial"/>
                <w:sz w:val="12"/>
                <w:szCs w:val="12"/>
                <w:color w:val="auto"/>
              </w:rPr>
              <w:t>Lease liabilities arising from finance right-of-use assets</w:t>
            </w:r>
          </w:p>
        </w:tc>
        <w:tc>
          <w:tcPr>
            <w:tcW w:w="2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21,156</w:t>
            </w:r>
          </w:p>
        </w:tc>
      </w:tr>
      <w:tr>
        <w:trPr>
          <w:trHeight w:val="144"/>
        </w:trPr>
        <w:tc>
          <w:tcPr>
            <w:tcW w:w="66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Accrued fees relating to senior preference units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600" w:type="dxa"/>
            <w:vAlign w:val="bottom"/>
            <w:gridSpan w:val="3"/>
          </w:tcPr>
          <w:p>
            <w:pPr>
              <w:ind w:left="60"/>
              <w:spacing w:after="0"/>
              <w:rPr>
                <w:sz w:val="20"/>
                <w:szCs w:val="20"/>
                <w:color w:val="auto"/>
              </w:rPr>
            </w:pPr>
            <w:r>
              <w:rPr>
                <w:rFonts w:ascii="Arial" w:cs="Arial" w:eastAsia="Arial" w:hAnsi="Arial"/>
                <w:sz w:val="12"/>
                <w:szCs w:val="12"/>
                <w:color w:val="auto"/>
              </w:rPr>
              <w:t>Accrued senior preferred units distributions</w:t>
            </w:r>
          </w:p>
        </w:tc>
        <w:tc>
          <w:tcPr>
            <w:tcW w:w="2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8,011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6600" w:type="dxa"/>
            <w:vAlign w:val="bottom"/>
            <w:gridSpan w:val="3"/>
          </w:tcPr>
          <w:p>
            <w:pPr>
              <w:spacing w:after="0"/>
              <w:rPr>
                <w:sz w:val="20"/>
                <w:szCs w:val="20"/>
                <w:color w:val="auto"/>
              </w:rPr>
            </w:pPr>
            <w:r>
              <w:rPr>
                <w:rFonts w:ascii="Arial" w:cs="Arial" w:eastAsia="Arial" w:hAnsi="Arial"/>
                <w:sz w:val="12"/>
                <w:szCs w:val="12"/>
                <w:b w:val="1"/>
                <w:bCs w:val="1"/>
                <w:color w:val="auto"/>
              </w:rPr>
              <w:t>E.  Accounts and notes receivable, net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5"/>
        </w:trPr>
        <w:tc>
          <w:tcPr>
            <w:tcW w:w="6600" w:type="dxa"/>
            <w:vAlign w:val="bottom"/>
            <w:gridSpan w:val="3"/>
          </w:tcPr>
          <w:p>
            <w:pPr>
              <w:spacing w:after="0"/>
              <w:rPr>
                <w:sz w:val="20"/>
                <w:szCs w:val="20"/>
                <w:color w:val="auto"/>
              </w:rPr>
            </w:pPr>
            <w:r>
              <w:rPr>
                <w:rFonts w:ascii="Arial" w:cs="Arial" w:eastAsia="Arial" w:hAnsi="Arial"/>
                <w:sz w:val="12"/>
                <w:szCs w:val="12"/>
                <w:color w:val="auto"/>
              </w:rPr>
              <w:t>Accounts and notes receivable, net consist of the following:</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w w:val="99"/>
              </w:rPr>
              <w:t>April 30, 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82"/>
              <w:spacing w:after="0"/>
              <w:rPr>
                <w:sz w:val="20"/>
                <w:szCs w:val="20"/>
                <w:color w:val="auto"/>
              </w:rPr>
            </w:pPr>
            <w:r>
              <w:rPr>
                <w:rFonts w:ascii="Arial" w:cs="Arial" w:eastAsia="Arial" w:hAnsi="Arial"/>
                <w:sz w:val="10"/>
                <w:szCs w:val="10"/>
                <w:b w:val="1"/>
                <w:bCs w:val="1"/>
                <w:color w:val="auto"/>
                <w:w w:val="97"/>
              </w:rPr>
              <w:t>July 31, 2020</w:t>
            </w:r>
          </w:p>
        </w:tc>
      </w:tr>
      <w:tr>
        <w:trPr>
          <w:trHeight w:val="133"/>
        </w:trPr>
        <w:tc>
          <w:tcPr>
            <w:tcW w:w="6600" w:type="dxa"/>
            <w:vAlign w:val="bottom"/>
            <w:tcBorders>
              <w:top w:val="single" w:sz="8" w:color="CCEEFF"/>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Accounts receivable (a)</w:t>
            </w:r>
          </w:p>
        </w:tc>
        <w:tc>
          <w:tcPr>
            <w:tcW w:w="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175,510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102,914</w:t>
            </w:r>
          </w:p>
        </w:tc>
      </w:tr>
      <w:tr>
        <w:trPr>
          <w:trHeight w:val="144"/>
        </w:trPr>
        <w:tc>
          <w:tcPr>
            <w:tcW w:w="6600" w:type="dxa"/>
            <w:vAlign w:val="bottom"/>
            <w:gridSpan w:val="3"/>
          </w:tcPr>
          <w:p>
            <w:pPr>
              <w:spacing w:after="0"/>
              <w:rPr>
                <w:sz w:val="20"/>
                <w:szCs w:val="20"/>
                <w:color w:val="auto"/>
              </w:rPr>
            </w:pPr>
            <w:r>
              <w:rPr>
                <w:rFonts w:ascii="Arial" w:cs="Arial" w:eastAsia="Arial" w:hAnsi="Arial"/>
                <w:sz w:val="12"/>
                <w:szCs w:val="12"/>
                <w:color w:val="auto"/>
              </w:rPr>
              <w:t>Note receivable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13,648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12,648</w:t>
            </w:r>
          </w:p>
        </w:tc>
      </w:tr>
      <w:tr>
        <w:trPr>
          <w:trHeight w:val="144"/>
        </w:trPr>
        <w:tc>
          <w:tcPr>
            <w:tcW w:w="66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Less: Allowance for expected credit losses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(18,642)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(14,124)</w:t>
            </w:r>
          </w:p>
        </w:tc>
      </w:tr>
      <w:tr>
        <w:trPr>
          <w:trHeight w:val="140"/>
        </w:trPr>
        <w:tc>
          <w:tcPr>
            <w:tcW w:w="6600" w:type="dxa"/>
            <w:vAlign w:val="bottom"/>
            <w:gridSpan w:val="3"/>
          </w:tcPr>
          <w:p>
            <w:pPr>
              <w:ind w:left="80"/>
              <w:spacing w:after="0" w:line="133" w:lineRule="exact"/>
              <w:rPr>
                <w:sz w:val="20"/>
                <w:szCs w:val="20"/>
                <w:color w:val="auto"/>
              </w:rPr>
            </w:pPr>
            <w:r>
              <w:rPr>
                <w:rFonts w:ascii="Arial" w:cs="Arial" w:eastAsia="Arial" w:hAnsi="Arial"/>
                <w:sz w:val="12"/>
                <w:szCs w:val="12"/>
                <w:color w:val="auto"/>
              </w:rPr>
              <w:t>Accounts and notes receivable, net</w:t>
            </w:r>
          </w:p>
        </w:tc>
        <w:tc>
          <w:tcPr>
            <w:tcW w:w="2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170,516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101,438</w:t>
            </w:r>
          </w:p>
        </w:tc>
      </w:tr>
    </w:tbl>
    <w:p>
      <w:pPr>
        <w:spacing w:after="0" w:line="135" w:lineRule="exact"/>
        <w:rPr>
          <w:sz w:val="20"/>
          <w:szCs w:val="20"/>
          <w:color w:val="auto"/>
        </w:rPr>
      </w:pPr>
    </w:p>
    <w:p>
      <w:pPr>
        <w:ind w:left="4440" w:right="1859" w:hanging="4184"/>
        <w:spacing w:after="0" w:line="839" w:lineRule="auto"/>
        <w:tabs>
          <w:tab w:leader="none" w:pos="468" w:val="left"/>
        </w:tabs>
        <w:numPr>
          <w:ilvl w:val="0"/>
          <w:numId w:val="36"/>
        </w:numPr>
        <w:rPr>
          <w:rFonts w:ascii="Arial" w:cs="Arial" w:eastAsia="Arial" w:hAnsi="Arial"/>
          <w:sz w:val="12"/>
          <w:szCs w:val="12"/>
          <w:color w:val="auto"/>
        </w:rPr>
      </w:pPr>
      <w:r>
        <w:rPr>
          <w:rFonts w:ascii="Arial" w:cs="Arial" w:eastAsia="Arial" w:hAnsi="Arial"/>
          <w:sz w:val="12"/>
          <w:szCs w:val="12"/>
          <w:color w:val="auto"/>
        </w:rPr>
        <w:t>At July 31, 2020, $103.7 million was pledged as collateral under the terminated accounts receivable securitization facility, discussed below.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9" w:name="page50"/>
    <w:bookmarkEnd w:id="4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On March 30, 2021, Ferrellgas terminated the agreement governing the accounts receivable securitization facility, initially dated as of January 19, 2012 and as subsequently amended from time to time (the “Accounts Receivables Facility”). In connection with the termination of the Accounts Receivables Facility, Ferrellgas repaid all of the outstanding obligations and fees thereunder.</w:t>
      </w:r>
    </w:p>
    <w:p>
      <w:pPr>
        <w:spacing w:after="0" w:line="118" w:lineRule="exact"/>
        <w:rPr>
          <w:sz w:val="20"/>
          <w:szCs w:val="20"/>
          <w:color w:val="auto"/>
        </w:rPr>
      </w:pPr>
    </w:p>
    <w:p>
      <w:pPr>
        <w:ind w:left="20"/>
        <w:spacing w:after="0"/>
        <w:tabs>
          <w:tab w:leader="none" w:pos="220" w:val="left"/>
        </w:tabs>
        <w:rPr>
          <w:sz w:val="20"/>
          <w:szCs w:val="20"/>
          <w:color w:val="auto"/>
        </w:rPr>
      </w:pPr>
      <w:r>
        <w:rPr>
          <w:rFonts w:ascii="Arial" w:cs="Arial" w:eastAsia="Arial" w:hAnsi="Arial"/>
          <w:sz w:val="12"/>
          <w:szCs w:val="12"/>
          <w:b w:val="1"/>
          <w:bCs w:val="1"/>
          <w:color w:val="auto"/>
        </w:rPr>
        <w:t>F.</w:t>
      </w:r>
      <w:r>
        <w:rPr>
          <w:sz w:val="20"/>
          <w:szCs w:val="20"/>
          <w:color w:val="auto"/>
        </w:rPr>
        <w:tab/>
      </w:r>
      <w:r>
        <w:rPr>
          <w:rFonts w:ascii="Arial" w:cs="Arial" w:eastAsia="Arial" w:hAnsi="Arial"/>
          <w:sz w:val="10"/>
          <w:szCs w:val="10"/>
          <w:b w:val="1"/>
          <w:bCs w:val="1"/>
          <w:u w:val="single" w:color="auto"/>
          <w:color w:val="auto"/>
        </w:rPr>
        <w:t>Debt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Long-term debt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Long-term debt consists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2"/>
                <w:szCs w:val="12"/>
                <w:b w:val="1"/>
                <w:bCs w:val="1"/>
                <w:color w:val="auto"/>
              </w:rPr>
              <w:t>Unsecured senior notes</w:t>
            </w:r>
          </w:p>
        </w:tc>
        <w:tc>
          <w:tcPr>
            <w:tcW w:w="160" w:type="dxa"/>
            <w:vAlign w:val="bottom"/>
          </w:tcPr>
          <w:p>
            <w:pPr>
              <w:spacing w:after="0"/>
              <w:rPr>
                <w:sz w:val="10"/>
                <w:szCs w:val="1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April 30, 2021</w:t>
            </w:r>
          </w:p>
        </w:tc>
        <w:tc>
          <w:tcPr>
            <w:tcW w:w="160" w:type="dxa"/>
            <w:vAlign w:val="bottom"/>
          </w:tcPr>
          <w:p>
            <w:pPr>
              <w:spacing w:after="0"/>
              <w:rPr>
                <w:sz w:val="10"/>
                <w:szCs w:val="10"/>
                <w:color w:val="auto"/>
              </w:rPr>
            </w:pPr>
          </w:p>
        </w:tc>
        <w:tc>
          <w:tcPr>
            <w:tcW w:w="840" w:type="dxa"/>
            <w:vAlign w:val="bottom"/>
          </w:tcPr>
          <w:p>
            <w:pPr>
              <w:jc w:val="right"/>
              <w:ind w:right="161"/>
              <w:spacing w:after="0"/>
              <w:rPr>
                <w:sz w:val="20"/>
                <w:szCs w:val="20"/>
                <w:color w:val="auto"/>
              </w:rPr>
            </w:pPr>
            <w:r>
              <w:rPr>
                <w:rFonts w:ascii="Arial" w:cs="Arial" w:eastAsia="Arial" w:hAnsi="Arial"/>
                <w:sz w:val="10"/>
                <w:szCs w:val="10"/>
                <w:b w:val="1"/>
                <w:bCs w:val="1"/>
                <w:color w:val="auto"/>
                <w:w w:val="97"/>
              </w:rPr>
              <w:t>July 31, 2020</w:t>
            </w:r>
          </w:p>
        </w:tc>
        <w:tc>
          <w:tcPr>
            <w:tcW w:w="0" w:type="dxa"/>
            <w:vAlign w:val="bottom"/>
          </w:tcPr>
          <w:p>
            <w:pPr>
              <w:spacing w:after="0"/>
              <w:rPr>
                <w:sz w:val="1"/>
                <w:szCs w:val="1"/>
                <w:color w:val="auto"/>
              </w:rPr>
            </w:pPr>
          </w:p>
        </w:tc>
      </w:tr>
      <w:tr>
        <w:trPr>
          <w:trHeight w:val="129"/>
        </w:trPr>
        <w:tc>
          <w:tcPr>
            <w:tcW w:w="66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Fixed rate, 6.50%, due 2021 (1)</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Fixed rate, 6.75%, due 2023 (2)</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Fixed rate, 6.75%, due 2022, net of unamortized premium of $937 at July 31, 2020 (3)</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475,937</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Fixed rate, 5.375%, due 2026 (4)</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650,000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Fixed rate, 5.875%, due 2029 (4)</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Secured senior notes</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Fixed rate, 10.00%, due 2025, net of unamortized premium of $3,573 at July 31, 2020 (5)</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703,573</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2"/>
                <w:szCs w:val="12"/>
                <w:b w:val="1"/>
                <w:bCs w:val="1"/>
                <w:color w:val="auto"/>
              </w:rPr>
              <w:t>Notes payable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7.7% and 9.4% weighted average interest rate at April 30, 2021 and July 31, 2020, respectively, due 2021 to 2029, net of unamortized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discount of $296 and $537 at April 30, 2021 and July 31, 2020, respectively</w:t>
            </w: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3,063</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4,564</w:t>
            </w:r>
          </w:p>
        </w:tc>
        <w:tc>
          <w:tcPr>
            <w:tcW w:w="0" w:type="dxa"/>
            <w:vAlign w:val="bottom"/>
          </w:tcPr>
          <w:p>
            <w:pPr>
              <w:spacing w:after="0"/>
              <w:rPr>
                <w:sz w:val="1"/>
                <w:szCs w:val="1"/>
                <w:color w:val="auto"/>
              </w:rPr>
            </w:pPr>
          </w:p>
        </w:tc>
      </w:tr>
      <w:tr>
        <w:trPr>
          <w:trHeight w:val="133"/>
        </w:trPr>
        <w:tc>
          <w:tcPr>
            <w:tcW w:w="6680" w:type="dxa"/>
            <w:vAlign w:val="bottom"/>
          </w:tcPr>
          <w:p>
            <w:pPr>
              <w:spacing w:after="0" w:line="133" w:lineRule="exact"/>
              <w:rPr>
                <w:sz w:val="20"/>
                <w:szCs w:val="20"/>
                <w:color w:val="auto"/>
              </w:rPr>
            </w:pPr>
            <w:r>
              <w:rPr>
                <w:rFonts w:ascii="Arial" w:cs="Arial" w:eastAsia="Arial" w:hAnsi="Arial"/>
                <w:sz w:val="12"/>
                <w:szCs w:val="12"/>
                <w:color w:val="auto"/>
              </w:rPr>
              <w:t>Total debt, excluding unamortized debt issuance and other costs</w:t>
            </w:r>
          </w:p>
        </w:tc>
        <w:tc>
          <w:tcPr>
            <w:tcW w:w="16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1,478,063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2,184,074</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Unamortized debt issuance and other costs</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(33,403)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(35,583)</w:t>
            </w:r>
          </w:p>
        </w:tc>
        <w:tc>
          <w:tcPr>
            <w:tcW w:w="0" w:type="dxa"/>
            <w:vAlign w:val="bottom"/>
          </w:tcPr>
          <w:p>
            <w:pPr>
              <w:spacing w:after="0"/>
              <w:rPr>
                <w:sz w:val="1"/>
                <w:szCs w:val="1"/>
                <w:color w:val="auto"/>
              </w:rPr>
            </w:pPr>
          </w:p>
        </w:tc>
      </w:tr>
      <w:tr>
        <w:trPr>
          <w:trHeight w:val="144"/>
        </w:trPr>
        <w:tc>
          <w:tcPr>
            <w:tcW w:w="6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current portion of long-term debt</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502,095</w:t>
            </w:r>
          </w:p>
        </w:tc>
        <w:tc>
          <w:tcPr>
            <w:tcW w:w="0" w:type="dxa"/>
            <w:vAlign w:val="bottom"/>
          </w:tcPr>
          <w:p>
            <w:pPr>
              <w:spacing w:after="0"/>
              <w:rPr>
                <w:sz w:val="1"/>
                <w:szCs w:val="1"/>
                <w:color w:val="auto"/>
              </w:rPr>
            </w:pPr>
          </w:p>
        </w:tc>
      </w:tr>
      <w:tr>
        <w:trPr>
          <w:trHeight w:val="140"/>
        </w:trPr>
        <w:tc>
          <w:tcPr>
            <w:tcW w:w="66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Long-term debt</w:t>
            </w:r>
          </w:p>
        </w:tc>
        <w:tc>
          <w:tcPr>
            <w:tcW w:w="1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1,443,095</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1,646,396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80" w:right="79" w:hanging="224"/>
        <w:spacing w:after="0" w:line="280"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During November 2010, the operating partnership issued $500.0 million aggregate principal amount of 6.50% senior notes due 2021 (referred to herein as the 2021 Notes). The outstanding principal amount of the 2021 Notes was due on May 1, 2021. Prior to the Effective Date, the operating partnership delivered a notice of redemption of all of the issued and outstanding 2021 Notes pursuant the terms of the indenture governing the 2021 Notes, with a redemption date of April 5, 2021. On the Effective Date, the operating partnership (i) satisfied and discharged the indenture governing the 2021 Notes by irrevocably depositing with the trustee under such indenture funds in an amount sufficient to pay the redemption price for all of the 2021 Notes on April 5, 2021 and (ii) delivered irrevocable instructions directing the trustee to apply such funds to the redemption of the 2021 Notes on April 5, 2021. As a result, as of the Effective Date, the indenture governing the 2021 Notes ceased to be of further effect (except as to certain expressly surviving rights), and all of the issued and outstanding 2021 Notes were redeemed on April 5, 2021. The aggregate redemption price for the 2021 Notes was $513.9 million, consisting of principal and accrued and unpaid interest to the redemption date.</w:t>
      </w:r>
    </w:p>
    <w:p>
      <w:pPr>
        <w:spacing w:after="0" w:line="115" w:lineRule="exact"/>
        <w:rPr>
          <w:rFonts w:ascii="Arial" w:cs="Arial" w:eastAsia="Arial" w:hAnsi="Arial"/>
          <w:sz w:val="11"/>
          <w:szCs w:val="11"/>
          <w:color w:val="auto"/>
        </w:rPr>
      </w:pPr>
    </w:p>
    <w:p>
      <w:pPr>
        <w:ind w:left="480" w:right="39" w:hanging="224"/>
        <w:spacing w:after="0" w:line="280"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During June 2015, the operating partnership issued $500.0 million aggregate principal amount of 6.75% senior notes due 2023 (referred to herein as the 2023 Notes). The outstanding principal amount of the 2023 Notes was due June 15, 2023. Prior to the Effective Date, the operating partnership delivered a notice of redemption of all of the issued and outstanding 2023 Notes pursuant the terms of the indenture governing the 2023 Notes, with a redemption date of April 5, 2021. On the Effective Date, the operating partnership (i) satisfied and discharged the indenture governing the 2023 Notes by irrevocably depositing with the trustee under such indenture funds in an amount sufficient to pay the redemption price for all of the 2023 Notes on April 5, 2021 and (ii) delivered irrevocable instructions directing the trustee to apply such funds to the redemption of the 2023 Notes on April 5, 2021. As a result, as of the Effective Date, the indenture governing the 2023 Notes ceased to be of further effect (except as to certain expressly surviving rights), and all of the issued and outstanding 2023 Notes were redeemed on April 5, 2021. The aggregate redemption price for the 2023 Notes was $518.8 million, consisting of principal, redemption premium and accrued and unpaid interest to the redemption date.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0" w:name="page51"/>
    <w:bookmarkEnd w:id="5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480" w:right="79" w:hanging="224"/>
        <w:spacing w:after="0" w:line="253" w:lineRule="auto"/>
        <w:tabs>
          <w:tab w:leader="none" w:pos="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During fiscal 2014, the operating partnership issued $475.0 million aggregate principal amount of 6.75% senior notes due 2022 (referred to herein as the 2022 Notes), $325.0 million of which was issued at par and $150.0 million of which was issued at 104% of par. The outstanding principal amount of the 2022 Notes was due January 15, 2022. Prior to the Effective Date, the operating partnership delivered a notice of redemption of all of the issued and outstanding 2022 Notes pursuant the terms of the indenture governing the 2022 Notes, with a redemption date of April 5, 2021. On the Effective Date, the operating partnership (i) satisfied and discharged the indenture governing the 2022 Notes by irrevocably depositing with the trustee under such indenture funds in an amount sufficient to pay the redemption price for all of the 2022 Notes on April 5, 2021 and (ii) delivered irrevocable instructions directing the trustee to apply such funds to the redemption of the 2022 Notes on April 5, 2021. As a result, as of the Effective Date, the indenture governing the 2022 Notes ceased to be of further effect (except as to certain expressly surviving rights), and all of the issued and outstanding 2022 Notes were redeemed on April 5, 2021. The aggregate redemption price for the 2022 Notes was $482.0 million, consisting of principal and accrued and unpaid interest to the redemption date.</w:t>
      </w:r>
    </w:p>
    <w:p>
      <w:pPr>
        <w:spacing w:after="0" w:line="130" w:lineRule="exact"/>
        <w:rPr>
          <w:rFonts w:ascii="Arial" w:cs="Arial" w:eastAsia="Arial" w:hAnsi="Arial"/>
          <w:sz w:val="12"/>
          <w:szCs w:val="12"/>
          <w:color w:val="auto"/>
        </w:rPr>
      </w:pPr>
    </w:p>
    <w:p>
      <w:pPr>
        <w:ind w:left="480" w:right="39" w:hanging="224"/>
        <w:spacing w:after="0" w:line="281" w:lineRule="auto"/>
        <w:tabs>
          <w:tab w:leader="none" w:pos="4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On the Effective Date, two wholly-owned subsidiaries of the operating partnership (referred to herein as the Escrow Issuers) issued $650.0 million aggregate principal amount of 5.375% senior notes due 2026 (referred to herein as the 2026 Notes) and $825.0 million aggregate principal amount of 5.875% senior notes due 2029 (referred to herein as the 2029 Notes). On the Effective Date and immediately after the issuance of the 2026 Notes and 2029 Notes by the Escrow Issuers, (i) the Escrow Issuers were merged into the operating partnership and Ferrellgas Finance Corp., respectively, and the operating partnership and Ferrellgas Finance Corp. assumed the obligations of the Escrow Issuers as co-issuers of the 2026 Notes and the 2029 Notes, and (ii) the general partner and certain subsidiaries of the operating partnership guaranteed the 2026 Notes and the 2029 Notes. The 2026 Notes and 2029 Notes bear interest from the date of issuance, payable semi-annually in arrears on October 1 and April 1 of each year. The 2026 Notes will mature on April 1, 2026, and the 2029 Notes will mature on April 1, 2029. See “–Senior unsecured notes” below for additional discussion.</w:t>
      </w:r>
    </w:p>
    <w:p>
      <w:pPr>
        <w:spacing w:after="0" w:line="115" w:lineRule="exact"/>
        <w:rPr>
          <w:rFonts w:ascii="Arial" w:cs="Arial" w:eastAsia="Arial" w:hAnsi="Arial"/>
          <w:sz w:val="11"/>
          <w:szCs w:val="11"/>
          <w:color w:val="auto"/>
        </w:rPr>
      </w:pPr>
    </w:p>
    <w:p>
      <w:pPr>
        <w:ind w:left="480" w:right="119" w:hanging="224"/>
        <w:spacing w:after="0" w:line="285" w:lineRule="auto"/>
        <w:tabs>
          <w:tab w:leader="none" w:pos="4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During April 2020, the operating partnership issued $700.0 million aggregate principal amount of 10.00% senior secured notes due 2025 (referred to herein as the 2025 Notes), $575.0 million of which was issued at par and $125.0 million of which was issued at 103% of par. The outstanding principal amount of the 2025 Notes was due on April 15, 2025. Prior to the Effective Date, the operating partnership delivered a notice of redemption of all of the issued and outstanding 2025 Notes pursuant the terms of the indenture governing the 2025 Notes, with a redemption date of March 30, 2021, and all of the issued and outstanding 2025 Notes were redeemed on the Effective Date. The aggregate redemption price for the 2025 Notes was $806.2 million, consisting of principal, redemption premium and accrued and unpaid interest to the redemption date.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Senior secured revolving credit facility</w:t>
      </w:r>
    </w:p>
    <w:p>
      <w:pPr>
        <w:spacing w:after="0" w:line="150"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the Effective Date, the operating partnership, the general partner and certain of the operating partnership’s subsidiaries entered into a Credit Agreement (the “Credit Agreement”), which provides for a four-year revolving credit facility (the “Credit Facility”) in an aggregate principal amount of up to $350.0 million, including a sublimit not to exceed $225.0 million for the issuance of letters of credit for a period of 60 days after March 30, 2021, reducing to $200.0 million thereafter.</w:t>
      </w:r>
    </w:p>
    <w:p>
      <w:pPr>
        <w:spacing w:after="0" w:line="122"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All borrowings under the Credit Facility are guaranteed by the general partner and the direct and indirect subsidiaries of the operating partnership (other than Ferrellgas Finance Corp. and Ferrellgas Receivables, LLC) and a limited-recourse guaranty from Ferrellgas Partners (limited to its equity interests in the operating partnership). Additionally, all borrowings are secured, on a first priority basis, by substantially all of the assets of the operating partnership and its subsidiaries and all of the equity interests in the operating partnership held by the general partner and Ferrellgas Partners.</w:t>
      </w:r>
    </w:p>
    <w:p>
      <w:pPr>
        <w:spacing w:after="0" w:line="124" w:lineRule="exact"/>
        <w:rPr>
          <w:sz w:val="20"/>
          <w:szCs w:val="20"/>
          <w:color w:val="auto"/>
        </w:rPr>
      </w:pPr>
    </w:p>
    <w:p>
      <w:pPr>
        <w:ind w:left="20" w:right="139"/>
        <w:spacing w:after="0" w:line="285" w:lineRule="auto"/>
        <w:rPr>
          <w:sz w:val="20"/>
          <w:szCs w:val="20"/>
          <w:color w:val="auto"/>
        </w:rPr>
      </w:pPr>
      <w:r>
        <w:rPr>
          <w:rFonts w:ascii="Arial" w:cs="Arial" w:eastAsia="Arial" w:hAnsi="Arial"/>
          <w:sz w:val="11"/>
          <w:szCs w:val="11"/>
          <w:color w:val="auto"/>
        </w:rPr>
        <w:t>Availability under the Credit Facility is, at any time, an amount equal to (a) the lesser of the revolving commitment (initially $350.0 million) and the Borrowing Base (as defined below) minus (b) the sum of the aggregate outstanding amount of borrowings under Credit Facility plus the undrawn amount of outstanding letters of credit under the Credit Facility plus unreimbursed drawings in respect of letters of credit (unless otherwise converted into revolving loans). The "Borrowing Base" equals the sum of: (a) $200.0 million, plus (b) 80% of the eligible accounts receivable of the operating partnership and its subsidiaries, plus (c) 70% of the eligible propane inventory of the operating partnership and its subsidiaries, valued at weighted average cost, less (d) certain reserves, as determined and subject to certain modifications by the administrative agent in its permitted discretion.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1" w:name="page52"/>
    <w:bookmarkEnd w:id="5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 xml:space="preserve">Amounts borrowed under the Credit Facility bear interest, at the operating partnership's option, at either (a) for base rate loans, (i) a base rate determined by reference to the highest of (A) the rate of interest last quoted by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in the U.S. as the prime rate in effect, (B) the NYFRB Rate from time to time plus 0.50% per annum and (C) the Adjusted LIBO Rate for a one-month interest period plus 1.00% per annum plus (ii) a margin of 1.50% to 2.00% per annum depending on total net leverage or (b) for Eurodollar rate loans, (i) a rate determined by reference to the Adjusted LIBO Rate plus (ii) a margin of 2.50% to 3.00% per annum depending on total net leverage. The operating partnership will be required to pay an undrawn fee to the lenders on the average daily unused amount of the Credit Facility at a rate of 0.375% to 0.50% per annum depending on total net leverage.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Credit Agreement contains customary representations, warranties, covenants and events of default.</w:t>
      </w:r>
    </w:p>
    <w:p>
      <w:pPr>
        <w:spacing w:after="0" w:line="150" w:lineRule="exact"/>
        <w:rPr>
          <w:sz w:val="20"/>
          <w:szCs w:val="20"/>
          <w:color w:val="auto"/>
        </w:rPr>
      </w:pPr>
    </w:p>
    <w:p>
      <w:pPr>
        <w:jc w:val="both"/>
        <w:ind w:left="20" w:right="119"/>
        <w:spacing w:after="0" w:line="306" w:lineRule="auto"/>
        <w:rPr>
          <w:sz w:val="20"/>
          <w:szCs w:val="20"/>
          <w:color w:val="auto"/>
        </w:rPr>
      </w:pPr>
      <w:r>
        <w:rPr>
          <w:rFonts w:ascii="Arial" w:cs="Arial" w:eastAsia="Arial" w:hAnsi="Arial"/>
          <w:sz w:val="10"/>
          <w:szCs w:val="10"/>
          <w:color w:val="auto"/>
        </w:rPr>
        <w:t>The financial covenants in the Credit Agreement require the operating partnership to maintain: (1) a minimum interest coverage ratio (defined generally as the ratio of adjusted EBITDA to cash interest expense) of 2.50 to 1.00, (2) a maximum secured leverage ratio (defined generally as the ratio of total first priority secured indebtedness to adjusted EBITDA) of 2.50 to 1.00, and (3) a maximum total net leverage ratio (defined generally as the ratio of total indebtedness (net of unrestricted cash, subject to certain limits) to adjusted EBITDA) of 5.50 to</w:t>
      </w:r>
    </w:p>
    <w:p>
      <w:pPr>
        <w:spacing w:after="0" w:line="1" w:lineRule="exact"/>
        <w:rPr>
          <w:sz w:val="20"/>
          <w:szCs w:val="20"/>
          <w:color w:val="auto"/>
        </w:rPr>
      </w:pPr>
    </w:p>
    <w:p>
      <w:pPr>
        <w:jc w:val="both"/>
        <w:ind w:left="20" w:right="99"/>
        <w:spacing w:after="0" w:line="260" w:lineRule="auto"/>
        <w:rPr>
          <w:sz w:val="20"/>
          <w:szCs w:val="20"/>
          <w:color w:val="auto"/>
        </w:rPr>
      </w:pPr>
      <w:r>
        <w:rPr>
          <w:rFonts w:ascii="Arial" w:cs="Arial" w:eastAsia="Arial" w:hAnsi="Arial"/>
          <w:sz w:val="12"/>
          <w:szCs w:val="12"/>
          <w:color w:val="auto"/>
        </w:rPr>
        <w:t>1.00 initially. The maximum total net leverage ratio adjusts to 5.25 to 1.00 starting with the quarter ending April 30, 2022, 5.00 to 1.00 starting with the quarter ending October 31, 2022, and 4.75 to 1.00 starting with the quarter ending April 30, 2023.</w:t>
      </w:r>
    </w:p>
    <w:p>
      <w:pPr>
        <w:spacing w:after="0" w:line="124"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In addition to the financial covenants, the Credit Agreement includes covenants that may (or if not met will) restrict the ability of the operating partnership to, among other things: incur indebtedness or liens; effect certain fundamental changes, including mergers, consolidations, liquidations, dissolutions and changes in line of business; make certain restricted payments, including distributions to holders of Preferred Units, Ferrellgas Partners and the general partner and redemptions of Preferred Units; make investments, loans or advances; dispose of assets; effect sale and leaseback transactions; enter into swap agreements; make optional payments and modifications of subordinated and other debt instruments; enter into transactions with affiliates; agree to negative pledge clauses and burdensome agreements; and effect amendments to organizational documents.</w:t>
      </w:r>
    </w:p>
    <w:p>
      <w:pPr>
        <w:spacing w:after="0" w:line="113"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Credit Agreement and (ii) only if availability under the Credit Facility exceeds the greater of $50.0 million and 15% of the Borrowing Base and the operating partnership’s total net leverage ratio is not greater than 5.0 to 1.0 (or 4.75 to 1.0 starting on April 30, 2023).</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On June 11, 2021, Ferrellgas, L.P. entered into the First Amendment to the Credit Agreement. See Note N – Subsequent events for further discussion.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Senior unsecured notes</w:t>
      </w:r>
    </w:p>
    <w:p>
      <w:pPr>
        <w:spacing w:after="0" w:line="150" w:lineRule="exact"/>
        <w:rPr>
          <w:sz w:val="20"/>
          <w:szCs w:val="20"/>
          <w:color w:val="auto"/>
        </w:rPr>
      </w:pPr>
    </w:p>
    <w:p>
      <w:pPr>
        <w:ind w:left="20" w:right="79"/>
        <w:spacing w:after="0" w:line="313" w:lineRule="auto"/>
        <w:rPr>
          <w:sz w:val="20"/>
          <w:szCs w:val="20"/>
          <w:color w:val="auto"/>
        </w:rPr>
      </w:pPr>
      <w:r>
        <w:rPr>
          <w:rFonts w:ascii="Arial" w:cs="Arial" w:eastAsia="Arial" w:hAnsi="Arial"/>
          <w:sz w:val="10"/>
          <w:szCs w:val="10"/>
          <w:color w:val="auto"/>
        </w:rPr>
        <w:t>As discussed above, on the Effective Date, (i) the Escrow Issuers issued $650.0 million aggregate principal amount of 2026 Notes and $825.0 million aggregate principal amount of 2029 Notes, and (ii) the operating partnership and Ferrellgas Finance Corp. assumed the obligations of the Escrow Issuers as co-issuers of the 2026 Notes and the 2029 Notes upon the merger of the Escrow Issuers into the operating partnership and Ferrellgas Finance Corp., respectively. The operating partnership received aggregate net proceeds from the issuance and sale of the 2026 Notes and the 2029 Notes of approximately $1,446.5 million, after deducting the initial purchaser’s discount and estimated offering expenses. The operating partnership used such net proceeds, together with the net proceeds of the issuance and sale of the Preferred Units, as discussed in Note G – Preferred units, and cash on hand, (i) to redeem (or satisfy and discharge the indentures governing and subsequently redeem) all of the issued and outstanding 2021 Notes, 2022 Notes, 2023 Notes and 2025 Notes, as described above, and (ii) to repay all outstanding obligations under the Accounts Receivable Facility in connection with the termination of that facility, as described in Note E – Accounts and notes receivable, net.</w:t>
      </w:r>
    </w:p>
    <w:p>
      <w:pPr>
        <w:spacing w:after="0" w:line="102" w:lineRule="exact"/>
        <w:rPr>
          <w:sz w:val="20"/>
          <w:szCs w:val="20"/>
          <w:color w:val="auto"/>
        </w:rPr>
      </w:pPr>
    </w:p>
    <w:p>
      <w:pPr>
        <w:ind w:left="20" w:right="139"/>
        <w:spacing w:after="0" w:line="379" w:lineRule="auto"/>
        <w:rPr>
          <w:sz w:val="20"/>
          <w:szCs w:val="20"/>
          <w:color w:val="auto"/>
        </w:rPr>
      </w:pPr>
      <w:r>
        <w:rPr>
          <w:rFonts w:ascii="Arial" w:cs="Arial" w:eastAsia="Arial" w:hAnsi="Arial"/>
          <w:sz w:val="10"/>
          <w:szCs w:val="10"/>
          <w:color w:val="auto"/>
        </w:rPr>
        <w:t>The 2026 Notes and 2029 Notes are the senior unsecured obligations of the operating partnership and Ferrellgas Finance Corp. and are unconditionally guaranteed, jointly and severally, on a senior unsecured basis by the general partner and all domestic subsidiaries of the operating partnership other than Ferrellgas Finance Corp. and Ferrellgas Receivables, LLC.</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2" w:name="page53"/>
    <w:bookmarkEnd w:id="5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39"/>
        <w:spacing w:after="0" w:line="289" w:lineRule="auto"/>
        <w:rPr>
          <w:sz w:val="20"/>
          <w:szCs w:val="20"/>
          <w:color w:val="auto"/>
        </w:rPr>
      </w:pPr>
      <w:r>
        <w:rPr>
          <w:rFonts w:ascii="Arial" w:cs="Arial" w:eastAsia="Arial" w:hAnsi="Arial"/>
          <w:sz w:val="11"/>
          <w:szCs w:val="11"/>
          <w:color w:val="auto"/>
        </w:rPr>
        <w:t>The 2026 Notes may be redeemed prior to April 1, 2023 and the 2029 Notes may be redeemed prior to April 1, 2024 at the issuer’s option, in whole or in part, at a redemption price of par plus the applicable make-whole premium and accrued and unpaid interest. On and after April 1, 2023 and April 1, 2024, the 2026 Notes and the 2029 Notes, respectively, may be redeemed at the issuer’s option, in whole or in part, at the redemption prices set forth in the respective indenture governing such notes, plus accrued and unpaid interest. Beginning on April 1, 2025 and April 1, 2026, the 2026 Notes and 2029 Notes, respectively, may be redeemed at par plus accrued and unpaid interest.</w:t>
      </w:r>
    </w:p>
    <w:p>
      <w:pPr>
        <w:spacing w:after="0" w:line="111" w:lineRule="exact"/>
        <w:rPr>
          <w:sz w:val="20"/>
          <w:szCs w:val="20"/>
          <w:color w:val="auto"/>
        </w:rPr>
      </w:pPr>
    </w:p>
    <w:p>
      <w:pPr>
        <w:ind w:left="20" w:right="199"/>
        <w:spacing w:after="0" w:line="320" w:lineRule="auto"/>
        <w:rPr>
          <w:sz w:val="20"/>
          <w:szCs w:val="20"/>
          <w:color w:val="auto"/>
        </w:rPr>
      </w:pPr>
      <w:r>
        <w:rPr>
          <w:rFonts w:ascii="Arial" w:cs="Arial" w:eastAsia="Arial" w:hAnsi="Arial"/>
          <w:sz w:val="10"/>
          <w:szCs w:val="10"/>
          <w:color w:val="auto"/>
        </w:rPr>
        <w:t>The indentures governing the 2026 Notes and 2029 Notes contain customary affirmative and negative covenants restricting, among other things, the ability of the operating partnership and its restricted subsidiaries to: incur additional indebtedness and guarantee indebtedness; pay dividends or make other distributions (including distributions to holders of Preferred Units, Ferrellgas Partners and the general partner) or repurchase or redeem their equity interests (including redemptions of Preferred Units); repurchase or redeem certain debt; make certain other restricted payments or investments; sell assets, incur liens, enter into transactions with affiliates, enter into agreements restricting the operating partnership’s subsidiaries’ ability to pay dividends; and consolidate, merge or sell all or substantially of their assets. The indentures also restrict the ability of the general partner to engage in certain activities.</w:t>
      </w:r>
    </w:p>
    <w:p>
      <w:pPr>
        <w:spacing w:after="0" w:line="97" w:lineRule="exact"/>
        <w:rPr>
          <w:sz w:val="20"/>
          <w:szCs w:val="20"/>
          <w:color w:val="auto"/>
        </w:rPr>
      </w:pPr>
    </w:p>
    <w:p>
      <w:pPr>
        <w:ind w:left="20" w:right="119"/>
        <w:spacing w:after="0" w:line="281" w:lineRule="auto"/>
        <w:rPr>
          <w:sz w:val="20"/>
          <w:szCs w:val="20"/>
          <w:color w:val="auto"/>
        </w:rPr>
      </w:pPr>
      <w:r>
        <w:rPr>
          <w:rFonts w:ascii="Arial" w:cs="Arial" w:eastAsia="Arial" w:hAnsi="Arial"/>
          <w:sz w:val="11"/>
          <w:szCs w:val="11"/>
          <w:color w:val="auto"/>
        </w:rPr>
        <w:t>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indentures and (ii) only if the operating partnership’s net leverage ratio (defined generally to mean the ratio of consolidated total net debt to trailing four quarters consolidated EBITDA, both as adjusted for certain, specified items) is not greater than 5.0 to 1.0, on a pro forma basis giving effect to the restricted payment and, if applicable, certain other specified events. Further, if the operating partnership’s consolidated fixed charge coverage ratio (defined generally to mean the ratio of trailing four quarters consolidated EBITDA to consolidated fixed charges, both as adjusted for certain, specified items) is equal to or less than 1.75 to 1.00 (on a pro forma basis giving effect to the restricted payment and, if applicable, certain other specified events), the amount of distributions and other restricted payments the operating partnership is permitted to make under the indentures is further limited.</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scheduled principal payments on long-term debt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ind w:right="463"/>
              <w:spacing w:after="0"/>
              <w:rPr>
                <w:sz w:val="20"/>
                <w:szCs w:val="20"/>
                <w:color w:val="auto"/>
              </w:rPr>
            </w:pPr>
            <w:r>
              <w:rPr>
                <w:rFonts w:ascii="Arial" w:cs="Arial" w:eastAsia="Arial" w:hAnsi="Arial"/>
                <w:sz w:val="10"/>
                <w:szCs w:val="10"/>
                <w:b w:val="1"/>
                <w:bCs w:val="1"/>
                <w:color w:val="auto"/>
              </w:rPr>
              <w:t>Scheduled</w:t>
            </w:r>
          </w:p>
        </w:tc>
      </w:tr>
      <w:tr>
        <w:trPr>
          <w:trHeight w:val="113"/>
        </w:trPr>
        <w:tc>
          <w:tcPr>
            <w:tcW w:w="74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Payment due by fiscal year</w:t>
            </w:r>
          </w:p>
        </w:tc>
        <w:tc>
          <w:tcPr>
            <w:tcW w:w="200" w:type="dxa"/>
            <w:vAlign w:val="bottom"/>
          </w:tcPr>
          <w:p>
            <w:pPr>
              <w:spacing w:after="0"/>
              <w:rPr>
                <w:sz w:val="9"/>
                <w:szCs w:val="9"/>
                <w:color w:val="auto"/>
              </w:rPr>
            </w:pPr>
          </w:p>
        </w:tc>
        <w:tc>
          <w:tcPr>
            <w:tcW w:w="1280" w:type="dxa"/>
            <w:vAlign w:val="bottom"/>
          </w:tcPr>
          <w:p>
            <w:pPr>
              <w:jc w:val="right"/>
              <w:ind w:right="283"/>
              <w:spacing w:after="0" w:line="114" w:lineRule="exact"/>
              <w:rPr>
                <w:sz w:val="20"/>
                <w:szCs w:val="20"/>
                <w:color w:val="auto"/>
              </w:rPr>
            </w:pPr>
            <w:r>
              <w:rPr>
                <w:rFonts w:ascii="Arial" w:cs="Arial" w:eastAsia="Arial" w:hAnsi="Arial"/>
                <w:sz w:val="10"/>
                <w:szCs w:val="10"/>
                <w:b w:val="1"/>
                <w:bCs w:val="1"/>
                <w:color w:val="auto"/>
              </w:rPr>
              <w:t>principal payments</w:t>
            </w:r>
          </w:p>
        </w:tc>
      </w:tr>
      <w:tr>
        <w:trPr>
          <w:trHeight w:val="133"/>
        </w:trPr>
        <w:tc>
          <w:tcPr>
            <w:tcW w:w="72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2021</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580</w:t>
            </w:r>
          </w:p>
        </w:tc>
      </w:tr>
      <w:tr>
        <w:trPr>
          <w:trHeight w:val="144"/>
        </w:trPr>
        <w:tc>
          <w:tcPr>
            <w:tcW w:w="7260" w:type="dxa"/>
            <w:vAlign w:val="bottom"/>
          </w:tcPr>
          <w:p>
            <w:pPr>
              <w:spacing w:after="0"/>
              <w:rPr>
                <w:sz w:val="20"/>
                <w:szCs w:val="20"/>
                <w:color w:val="auto"/>
              </w:rPr>
            </w:pPr>
            <w:r>
              <w:rPr>
                <w:rFonts w:ascii="Arial" w:cs="Arial" w:eastAsia="Arial" w:hAnsi="Arial"/>
                <w:sz w:val="12"/>
                <w:szCs w:val="12"/>
                <w:color w:val="auto"/>
              </w:rPr>
              <w:t>2022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1,335</w:t>
            </w:r>
          </w:p>
        </w:tc>
      </w:tr>
      <w:tr>
        <w:trPr>
          <w:trHeight w:val="144"/>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44"/>
        </w:trPr>
        <w:tc>
          <w:tcPr>
            <w:tcW w:w="7260" w:type="dxa"/>
            <w:vAlign w:val="bottom"/>
          </w:tcPr>
          <w:p>
            <w:pPr>
              <w:spacing w:after="0"/>
              <w:rPr>
                <w:sz w:val="20"/>
                <w:szCs w:val="20"/>
                <w:color w:val="auto"/>
              </w:rPr>
            </w:pPr>
            <w:r>
              <w:rPr>
                <w:rFonts w:ascii="Arial" w:cs="Arial" w:eastAsia="Arial" w:hAnsi="Arial"/>
                <w:sz w:val="12"/>
                <w:szCs w:val="12"/>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329</w:t>
            </w:r>
          </w:p>
        </w:tc>
      </w:tr>
      <w:tr>
        <w:trPr>
          <w:trHeight w:val="144"/>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1,475,019</w:t>
            </w:r>
          </w:p>
        </w:tc>
      </w:tr>
      <w:tr>
        <w:trPr>
          <w:trHeight w:val="140"/>
        </w:trPr>
        <w:tc>
          <w:tcPr>
            <w:tcW w:w="748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1,478,361</w:t>
            </w:r>
          </w:p>
        </w:tc>
      </w:tr>
    </w:tbl>
    <w:p>
      <w:pPr>
        <w:spacing w:after="0" w:line="135"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Letters of credit outstanding at April 30, 2021 and July 31, 2020 totaled $138.2 million and $126.0 million, respectively, and were used to secure insurance arrangements, product purchases and commodity hedges. As of April 30, 2021, Ferrellgas, L.P. had available borrowing capacity under its Credit Facility of $211.8 million, which included remaining available letter of credit capacity of $86.8 million. At July 31, 2020, Ferrellgas, L.P. did not have in place a credit facility providing for the issuance of letters of credit and had $78.2 million of restricted cash pledged as cash collateral for letters of credit outstanding. Additionally, at July 31, 2020, Ferrellgas, L.P. also issued letters of credit of $50.0 million by utilizing our liquidity available on the terminated accounts receivable securitization facility.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3" w:name="page54"/>
    <w:bookmarkEnd w:id="5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Preferred units</w:t>
      </w:r>
    </w:p>
    <w:p>
      <w:pPr>
        <w:spacing w:after="0" w:line="154" w:lineRule="exact"/>
        <w:rPr>
          <w:sz w:val="20"/>
          <w:szCs w:val="20"/>
          <w:color w:val="auto"/>
        </w:rPr>
      </w:pPr>
    </w:p>
    <w:p>
      <w:pPr>
        <w:ind w:left="20" w:right="79"/>
        <w:spacing w:after="0" w:line="304" w:lineRule="auto"/>
        <w:rPr>
          <w:sz w:val="20"/>
          <w:szCs w:val="20"/>
          <w:color w:val="auto"/>
        </w:rPr>
      </w:pPr>
      <w:r>
        <w:rPr>
          <w:rFonts w:ascii="Arial" w:cs="Arial" w:eastAsia="Arial" w:hAnsi="Arial"/>
          <w:sz w:val="10"/>
          <w:szCs w:val="10"/>
          <w:color w:val="auto"/>
        </w:rPr>
        <w:t>On the Effective Date, pursuant to the Investment Agreement, the operating partnership issued an aggregate of 700,000 Preferred Units, having an aggregate initial liquidation preference of $700.0 million. The purchase price per Preferred Unit was $1,000 less a 3.0% purchase price discount, for an aggregate purchase price of $679.0 million. The operating partnership received net proceeds from the issuance and sale of the Preferred Units of approximately $651.8 million, after deduction of the purchase price discount and certain expenses. The operating partnership used such net proceeds, together with the net proceeds of the issuance and sale of the 2026 Notes and the 2029 Notes and cash on hand, (i) to redeem (or satisfy and discharge the indentures governing and subsequently redeem) all of the issued and outstanding 2021 Notes, 2022 Notes, 2023 Notes and 2025 Notes, as described in Note F - Debt, and</w:t>
      </w:r>
    </w:p>
    <w:p>
      <w:pPr>
        <w:spacing w:after="0" w:line="1" w:lineRule="exact"/>
        <w:rPr>
          <w:sz w:val="20"/>
          <w:szCs w:val="20"/>
          <w:color w:val="auto"/>
        </w:rPr>
      </w:pPr>
    </w:p>
    <w:p>
      <w:pPr>
        <w:ind w:left="200" w:hanging="178"/>
        <w:spacing w:after="0"/>
        <w:tabs>
          <w:tab w:leader="none" w:pos="200" w:val="left"/>
        </w:tabs>
        <w:numPr>
          <w:ilvl w:val="0"/>
          <w:numId w:val="40"/>
        </w:numPr>
        <w:rPr>
          <w:rFonts w:ascii="Arial" w:cs="Arial" w:eastAsia="Arial" w:hAnsi="Arial"/>
          <w:sz w:val="11"/>
          <w:szCs w:val="11"/>
          <w:color w:val="auto"/>
        </w:rPr>
      </w:pPr>
      <w:r>
        <w:rPr>
          <w:rFonts w:ascii="Arial" w:cs="Arial" w:eastAsia="Arial" w:hAnsi="Arial"/>
          <w:sz w:val="11"/>
          <w:szCs w:val="11"/>
          <w:color w:val="auto"/>
        </w:rPr>
        <w:t>to repay all outstanding obligations under the Accounts Receivable Facility in connection with the termination of that facility, as described in Note E – Accounts and notes receivable,</w:t>
      </w:r>
    </w:p>
    <w:p>
      <w:pPr>
        <w:spacing w:after="0" w:line="17" w:lineRule="exact"/>
        <w:rPr>
          <w:rFonts w:ascii="Arial" w:cs="Arial" w:eastAsia="Arial" w:hAnsi="Arial"/>
          <w:sz w:val="11"/>
          <w:szCs w:val="11"/>
          <w:color w:val="auto"/>
        </w:rPr>
      </w:pPr>
    </w:p>
    <w:p>
      <w:pPr>
        <w:ind w:left="20"/>
        <w:spacing w:after="0"/>
        <w:rPr>
          <w:rFonts w:ascii="Arial" w:cs="Arial" w:eastAsia="Arial" w:hAnsi="Arial"/>
          <w:sz w:val="11"/>
          <w:szCs w:val="11"/>
          <w:color w:val="auto"/>
        </w:rPr>
      </w:pPr>
      <w:r>
        <w:rPr>
          <w:rFonts w:ascii="Arial" w:cs="Arial" w:eastAsia="Arial" w:hAnsi="Arial"/>
          <w:sz w:val="12"/>
          <w:szCs w:val="12"/>
          <w:color w:val="auto"/>
        </w:rPr>
        <w:t>net.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summarizes the changes in the number of the Preferred Units: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52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Preferred Units</w:t>
            </w:r>
          </w:p>
        </w:tc>
      </w:tr>
      <w:tr>
        <w:trPr>
          <w:trHeight w:val="133"/>
        </w:trPr>
        <w:tc>
          <w:tcPr>
            <w:tcW w:w="7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January 31, 2021</w:t>
            </w:r>
          </w:p>
        </w:tc>
        <w:tc>
          <w:tcPr>
            <w:tcW w:w="1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Preferred units issued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700,000</w:t>
            </w:r>
          </w:p>
        </w:tc>
      </w:tr>
      <w:tr>
        <w:trPr>
          <w:trHeight w:val="140"/>
        </w:trPr>
        <w:tc>
          <w:tcPr>
            <w:tcW w:w="75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April 30, 2021</w:t>
            </w:r>
          </w:p>
        </w:tc>
        <w:tc>
          <w:tcPr>
            <w:tcW w:w="1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700,000</w:t>
            </w:r>
          </w:p>
        </w:tc>
      </w:tr>
    </w:tbl>
    <w:p>
      <w:pPr>
        <w:spacing w:after="0" w:line="135"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The preferences, rights, privileges and other terms of the Preferred Units are set forth in the OpCo LPA Amendment entered into by the general partner on the Effective Date (along with the Amended OpCo LPA) and are described below.</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Issuer Redemption Right</w:t>
      </w:r>
    </w:p>
    <w:p>
      <w:pPr>
        <w:spacing w:after="0" w:line="123" w:lineRule="exact"/>
        <w:rPr>
          <w:sz w:val="20"/>
          <w:szCs w:val="20"/>
          <w:color w:val="auto"/>
        </w:rPr>
      </w:pPr>
    </w:p>
    <w:p>
      <w:pPr>
        <w:ind w:left="20" w:right="79"/>
        <w:spacing w:after="0" w:line="254" w:lineRule="auto"/>
        <w:rPr>
          <w:sz w:val="20"/>
          <w:szCs w:val="20"/>
          <w:color w:val="auto"/>
        </w:rPr>
      </w:pPr>
      <w:r>
        <w:rPr>
          <w:rFonts w:ascii="Arial" w:cs="Arial" w:eastAsia="Arial" w:hAnsi="Arial"/>
          <w:sz w:val="12"/>
          <w:szCs w:val="12"/>
          <w:color w:val="auto"/>
        </w:rPr>
        <w:t>The operating partnership has the right to redeem all or a portion of the Preferred Units for cash, pro rata and at any time and from time to time, including in connection with a Change of Control (as defined in the OpCo LPA Amendment), at an amount per Preferred Unit (the “Redemption Price”) equal to, without duplication, the sum of (a) the greater of (i) the amount necessary to result in a MOIC (as defined below) of 1.47x in respect of the purchase price, before discount, of such Preferred Unit, which is $1,000 per Preferred Unit (the “Purchase Price”), and (ii) the amount necessary to result in the applicable internal rate of return equal to 12.25%, which is increased by 150 basis points if the operating partnership has elected to pay more than four Quarterly Distributions (as defined below) in PIK Units (as defined below) and (b) the accumulated but unpaid Quarterly Distributions to the date of redemption, if any. A partial redemption of the Preferred Units is permitted only in the event the aggregate amount to be paid in respect of all Preferred Units included in such partial redemption is at least $25.0 million.</w:t>
      </w:r>
    </w:p>
    <w:p>
      <w:pPr>
        <w:spacing w:after="0" w:line="103"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MOIC</w:t>
      </w:r>
      <w:r>
        <w:rPr>
          <w:rFonts w:ascii="Arial" w:cs="Arial" w:eastAsia="Arial" w:hAnsi="Arial"/>
          <w:sz w:val="12"/>
          <w:szCs w:val="12"/>
          <w:color w:val="auto"/>
        </w:rPr>
        <w:t>” means, with respect to a Preferred Unit, a multiple on invested capital equal to the quotient determined by dividing (A) the sum of (x) the aggregate amount of all distributions made in cash with respect to such Preferred Unit prior to the applicable date of determination, with certain exclusions, plus (y) each Redemption Price paid in cash in respect of such Preferred Unit, on or prior to the applicable date of determination, by (B) the Purchase Price of such Preferred Unit.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Investor Redemption Right</w:t>
      </w:r>
    </w:p>
    <w:p>
      <w:pPr>
        <w:spacing w:after="0" w:line="123" w:lineRule="exact"/>
        <w:rPr>
          <w:sz w:val="20"/>
          <w:szCs w:val="20"/>
          <w:color w:val="auto"/>
        </w:rPr>
      </w:pPr>
    </w:p>
    <w:p>
      <w:pPr>
        <w:ind w:left="20" w:right="119"/>
        <w:spacing w:after="0" w:line="326" w:lineRule="auto"/>
        <w:rPr>
          <w:sz w:val="20"/>
          <w:szCs w:val="20"/>
          <w:color w:val="auto"/>
        </w:rPr>
      </w:pPr>
      <w:r>
        <w:rPr>
          <w:rFonts w:ascii="Arial" w:cs="Arial" w:eastAsia="Arial" w:hAnsi="Arial"/>
          <w:sz w:val="10"/>
          <w:szCs w:val="10"/>
          <w:color w:val="auto"/>
        </w:rPr>
        <w:t>In the event that (i) any Class B Units are outstanding, or (ii) (x) no Class B Units are outstanding and (y) no more than 233,300 Preferred Units are outstanding, at any time on and after the tenth anniversary of the Effective Date the Required Holders may elect, by delivery of written notice, to have the operating partnership fully redeem each remaining outstanding Preferred Unit for an amount in cash equal to the Redemption Price. “Required Holders” refers to both (i) holders owning at least 33.3% of the total Preferred Units outstanding at any time and (ii) certain initial affiliated purchasers, for so long as such initial affiliated purchasers collectively own at least 25% of the Preferred Units outstanding at such time.</w:t>
      </w:r>
    </w:p>
    <w:p>
      <w:pPr>
        <w:spacing w:after="0" w:line="68"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In the event that (i) no Class B Units are outstanding and (ii) more than 233,300 Preferred Units are outstanding, the Required Holders will have the right to trigger a sale of the operating partnership after the tenth anniversary of the Effective Date. If the operating partnership fails to consummate a sale that would pay the Redemption Price in full within 180 days of written notice requiring such sale, the Required Holders will have the right to appoint a majority of the members of the Board of Directors of the general partner and initiate a sale of the operating partnership.</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4" w:name="page55"/>
    <w:bookmarkEnd w:id="5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Change of Control</w:t>
      </w:r>
    </w:p>
    <w:p>
      <w:pPr>
        <w:spacing w:after="0" w:line="78" w:lineRule="exact"/>
        <w:rPr>
          <w:sz w:val="20"/>
          <w:szCs w:val="20"/>
          <w:color w:val="auto"/>
        </w:rPr>
      </w:pPr>
    </w:p>
    <w:p>
      <w:pPr>
        <w:ind w:left="20" w:right="79"/>
        <w:spacing w:after="0" w:line="289" w:lineRule="auto"/>
        <w:rPr>
          <w:sz w:val="20"/>
          <w:szCs w:val="20"/>
          <w:color w:val="auto"/>
        </w:rPr>
      </w:pPr>
      <w:r>
        <w:rPr>
          <w:rFonts w:ascii="Arial" w:cs="Arial" w:eastAsia="Arial" w:hAnsi="Arial"/>
          <w:sz w:val="11"/>
          <w:szCs w:val="11"/>
          <w:color w:val="auto"/>
        </w:rPr>
        <w:t>Upon a Change of Control (as defined in the OpCo LPA Amendment), the Required Holders will have the option to require the redemption of all or a portion of the Preferred Units in cash in an amount equal to the Redemption Price; provided, that such Redemption Price shall not be payable unless the operating partnership shall have first made any required change of control offer pursuant to the indentures governing the 2026 Notes and the 2029 Notes and purchased all such 2026 Notes and 2029 Notes tendered pursuant to such offer (unless otherwise waived by such noteholders); provided, further that the Redemption Price shall be paid immediately following the purchase of such tendered Notes (if any).</w:t>
      </w:r>
    </w:p>
    <w:p>
      <w:pPr>
        <w:spacing w:after="0" w:line="93" w:lineRule="exact"/>
        <w:rPr>
          <w:sz w:val="20"/>
          <w:szCs w:val="20"/>
          <w:color w:val="auto"/>
        </w:rPr>
      </w:pPr>
    </w:p>
    <w:p>
      <w:pPr>
        <w:ind w:left="20" w:right="219"/>
        <w:spacing w:after="0" w:line="323" w:lineRule="auto"/>
        <w:rPr>
          <w:sz w:val="20"/>
          <w:szCs w:val="20"/>
          <w:color w:val="auto"/>
        </w:rPr>
      </w:pPr>
      <w:r>
        <w:rPr>
          <w:rFonts w:ascii="Arial" w:cs="Arial" w:eastAsia="Arial" w:hAnsi="Arial"/>
          <w:sz w:val="11"/>
          <w:szCs w:val="11"/>
          <w:color w:val="auto"/>
        </w:rPr>
        <w:t>Ferrellgas identified the issuer redemption right, the investor redemption right, and the change in control option as embedded derivatives that require bifurcation as they are not clearly and closely related to the debt host contract and has concluded that the fair values at issuance and at April 30, 2021, are immaterial to the financial statements.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Distributions</w:t>
      </w:r>
    </w:p>
    <w:p>
      <w:pPr>
        <w:spacing w:after="0" w:line="78"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Pursuant to the OpCo LPA Amendment, the operating partnership will pay to the holders of each Preferred Unit a cumulative, quarterly distribution (the "Quarterly Distribution") at the Distribution Rate (as defined below) on the Purchase Price.</w:t>
      </w:r>
    </w:p>
    <w:p>
      <w:pPr>
        <w:spacing w:after="0" w:line="84" w:lineRule="exact"/>
        <w:rPr>
          <w:sz w:val="20"/>
          <w:szCs w:val="20"/>
          <w:color w:val="auto"/>
        </w:rPr>
      </w:pPr>
    </w:p>
    <w:p>
      <w:pPr>
        <w:ind w:left="20" w:right="439"/>
        <w:spacing w:after="0" w:line="292" w:lineRule="auto"/>
        <w:rPr>
          <w:sz w:val="20"/>
          <w:szCs w:val="20"/>
          <w:color w:val="auto"/>
        </w:rPr>
      </w:pPr>
      <w:r>
        <w:rPr>
          <w:rFonts w:ascii="Arial" w:cs="Arial" w:eastAsia="Arial" w:hAnsi="Arial"/>
          <w:sz w:val="12"/>
          <w:szCs w:val="12"/>
          <w:color w:val="auto"/>
        </w:rPr>
        <w:t>"Distribution Rate" means, for the first five years after March 30, 2021, a rate per annum equal to 8.956%, with certain increases in the Distribution Rate on each of the 5</w:t>
      </w:r>
      <w:r>
        <w:rPr>
          <w:rFonts w:ascii="Arial" w:cs="Arial" w:eastAsia="Arial" w:hAnsi="Arial"/>
          <w:sz w:val="13"/>
          <w:szCs w:val="13"/>
          <w:color w:val="auto"/>
          <w:vertAlign w:val="superscript"/>
        </w:rPr>
        <w:t>th</w:t>
      </w:r>
      <w:r>
        <w:rPr>
          <w:rFonts w:ascii="Arial" w:cs="Arial" w:eastAsia="Arial" w:hAnsi="Arial"/>
          <w:sz w:val="12"/>
          <w:szCs w:val="12"/>
          <w:color w:val="auto"/>
        </w:rPr>
        <w:t>, 6</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and 7</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anniversaries of March 30, 2021, subject to a maximum rate of 11.125% and certain other adjustments and exceptions.</w:t>
      </w:r>
    </w:p>
    <w:p>
      <w:pPr>
        <w:spacing w:after="0" w:line="58" w:lineRule="exact"/>
        <w:rPr>
          <w:sz w:val="20"/>
          <w:szCs w:val="20"/>
          <w:color w:val="auto"/>
        </w:rPr>
      </w:pPr>
    </w:p>
    <w:p>
      <w:pPr>
        <w:ind w:left="20" w:right="59"/>
        <w:spacing w:after="0" w:line="340" w:lineRule="auto"/>
        <w:rPr>
          <w:sz w:val="20"/>
          <w:szCs w:val="20"/>
          <w:color w:val="auto"/>
        </w:rPr>
      </w:pPr>
      <w:r>
        <w:rPr>
          <w:rFonts w:ascii="Arial" w:cs="Arial" w:eastAsia="Arial" w:hAnsi="Arial"/>
          <w:sz w:val="10"/>
          <w:szCs w:val="10"/>
          <w:color w:val="auto"/>
        </w:rPr>
        <w:t>The Quarterly Distribution will be paid in cash; provided, that the operating partnership may, at its option in its sole discretion, pay any Quarterly Distribution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spacing w:after="0" w:line="69"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The Distribution Rate on the Preferred Units will increase upon violation of certain protective provisions for the benefit of Preferred Unit holders notwithstanding the cap mentioned above.</w:t>
      </w:r>
    </w:p>
    <w:p>
      <w:pPr>
        <w:spacing w:after="0" w:line="88"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As of April 30, 2021, the Quarterly Distribution accrued was $8.0 million, reflecting a prorated distribution amount for the period from the Effective Date to April 30, and the Quarterly Distribution in that amount was paid in cash to holders of Preferred Units on May 17, 2021.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Tax Distributions</w:t>
      </w:r>
    </w:p>
    <w:p>
      <w:pPr>
        <w:spacing w:after="0" w:line="78" w:lineRule="exact"/>
        <w:rPr>
          <w:sz w:val="20"/>
          <w:szCs w:val="20"/>
          <w:color w:val="auto"/>
        </w:rPr>
      </w:pPr>
    </w:p>
    <w:p>
      <w:pPr>
        <w:ind w:left="20" w:right="139"/>
        <w:spacing w:after="0" w:line="309" w:lineRule="auto"/>
        <w:rPr>
          <w:sz w:val="20"/>
          <w:szCs w:val="20"/>
          <w:color w:val="auto"/>
        </w:rPr>
      </w:pPr>
      <w:r>
        <w:rPr>
          <w:rFonts w:ascii="Arial" w:cs="Arial" w:eastAsia="Arial" w:hAnsi="Arial"/>
          <w:sz w:val="10"/>
          <w:szCs w:val="10"/>
          <w:color w:val="auto"/>
        </w:rPr>
        <w:t>For any quarter in which the operating partnership makes a Quarterly Distribution in PIK Units in lieu of cash, it will be required to make a subsequent cash tax distribution for such quarter in an amount equal to the (i) the lesser of (x) 25% and (y) the highest combined federal, state and local tax rate applicable for corporations organized in New York, multiplied by</w:t>
      </w:r>
    </w:p>
    <w:p>
      <w:pPr>
        <w:spacing w:after="0" w:line="1" w:lineRule="exact"/>
        <w:rPr>
          <w:sz w:val="20"/>
          <w:szCs w:val="20"/>
          <w:color w:val="auto"/>
        </w:rPr>
      </w:pPr>
    </w:p>
    <w:p>
      <w:pPr>
        <w:ind w:left="20" w:right="119" w:firstLine="2"/>
        <w:spacing w:after="0" w:line="253" w:lineRule="auto"/>
        <w:tabs>
          <w:tab w:leader="none" w:pos="19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Additional Amounts for Certain Purchasers</w:t>
      </w:r>
    </w:p>
    <w:p>
      <w:pPr>
        <w:spacing w:after="0" w:line="78" w:lineRule="exact"/>
        <w:rPr>
          <w:sz w:val="20"/>
          <w:szCs w:val="20"/>
          <w:color w:val="auto"/>
        </w:rPr>
      </w:pPr>
    </w:p>
    <w:p>
      <w:pPr>
        <w:ind w:left="20" w:right="159"/>
        <w:spacing w:after="0" w:line="285" w:lineRule="auto"/>
        <w:rPr>
          <w:sz w:val="20"/>
          <w:szCs w:val="20"/>
          <w:color w:val="auto"/>
        </w:rPr>
      </w:pPr>
      <w:r>
        <w:rPr>
          <w:rFonts w:ascii="Arial" w:cs="Arial" w:eastAsia="Arial" w:hAnsi="Arial"/>
          <w:sz w:val="11"/>
          <w:szCs w:val="11"/>
          <w:color w:val="auto"/>
        </w:rPr>
        <w:t>The operating partnership is required to pay certain additional amounts of cash (the “Additional Amounts”) as necessary to certain holders of Preferred Units that hold their interests through a “blocker,” which is a U.S. entity that is owned and organized by certain original purchasers of Preferred Units who are non-U.S. persons or tax exempt for U.S. tax purposes and is treated as a corporation for U.S. tax purposes. Only certain original purchasers of Preferred Units who hold their Preferred Units through such blockers are, and none of their transferees is, entitled to Additional Amounts. Additional Amounts are capped at the lesser of: (a) the product of 20% multiplied by taxable income allocated to a “blocker” (as defined) divided by 0.8, and (b) the actual taxes payable by the “blocker” as a result of holding Senior Preferred Units.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5" w:name="page56"/>
    <w:bookmarkEnd w:id="5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Board Rights</w:t>
      </w:r>
    </w:p>
    <w:p>
      <w:pPr>
        <w:spacing w:after="0" w:line="78"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For so long as at least 140,000 Preferred Units remain outstanding, holders of the Preferred Units have the right to designate one director to the Board of the general partner, subject to approval by the general partner.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Protective Provisions</w:t>
      </w:r>
    </w:p>
    <w:p>
      <w:pPr>
        <w:spacing w:after="0" w:line="78"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The OpCo LPA Amendment and the Amended Ferrellgas Partners LPA include, among other things, certain covenants for the benefit of holders of Preferred Units applicable to the operating partnership and, in certain instances, Ferrellgas Partners, for so long as at least $35,000,000 of Preferred Units and PIK Units remain outstanding. These covenants include, among other things, limitations on (i) effecting a Change of Control, (ii) amending organizational documents, (iii) issuing certain equity securities, (iv) issuing Preferred Units, (v) filing for bankruptcy, (vi) non-ordinary course investments, and (vii) incurring certain levels of indebtedness.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Ranking and Liquidation Preference</w:t>
      </w:r>
    </w:p>
    <w:p>
      <w:pPr>
        <w:spacing w:after="0" w:line="78"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The Preferred Units rank senior to any other class or series of equity interests of the operating partnership (including the partnership interests held by Ferrellgas Partners and the general partner). Upon a liquidation, dissolution or winding up of the operating partnership, each holder of Preferred Units will be entitled to receive, prior and in preference to any distribution of any assets of the operating partnership to the holders of any other class or series of equity interests in the operating partnership (including Ferrellgas Partners and the general partner), an amount per Preferred Unit equal to the Redemption Price.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Restrictions on Cash Distributions to Ferrellgas Partners and the General Partner</w:t>
      </w:r>
    </w:p>
    <w:p>
      <w:pPr>
        <w:spacing w:after="0" w:line="78"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The operating partnership is permitted to make distributions of Available Cash (as defined in the Amended OpCo LPA) to Ferrellgas Partners and the general partner only if (i) the operating partnership has made all required Quarterly Distributions (in cash or PIK Units), Tax Distributions and payments of Additional Amounts, (ii) the operating partnership has redeemed all PIK Units issued, (iii) the operating partnership’s consolidated net leverage (defined generally to mean the ratio of the operating partnership’s consolidated total net debt (including the total redemption price of all outstanding Preferred Units and PIK Units but excluding certain letters of credit and capital lease obligations) as of each Quarterly Distribution Date to trailing four quarters consolidated EBITDA, both as adjusted for certain, specified items) is below 7.25x through May 15, 2022 and 7.00x thereafter, net of cash, immediately before and after giving effect to such distribution, (iv) the operating partnership has at least $100 million of liquidity, consisting of unrestricted cash on hand and available capacity under the Credit Agreement or any replacement thereof, and (v) the operating partnership is in compliance with the other protective provisions in the OpCo LPA Amendment.</w:t>
      </w:r>
    </w:p>
    <w:p>
      <w:pPr>
        <w:spacing w:after="0" w:line="111"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2"/>
          <w:szCs w:val="12"/>
          <w:b w:val="1"/>
          <w:bCs w:val="1"/>
          <w:color w:val="auto"/>
        </w:rPr>
        <w:t>H.</w:t>
      </w:r>
      <w:r>
        <w:rPr>
          <w:sz w:val="20"/>
          <w:szCs w:val="20"/>
          <w:color w:val="auto"/>
        </w:rPr>
        <w:tab/>
      </w:r>
      <w:r>
        <w:rPr>
          <w:rFonts w:ascii="Arial" w:cs="Arial" w:eastAsia="Arial" w:hAnsi="Arial"/>
          <w:sz w:val="11"/>
          <w:szCs w:val="11"/>
          <w:b w:val="1"/>
          <w:bCs w:val="1"/>
          <w:u w:val="single" w:color="auto"/>
          <w:color w:val="auto"/>
        </w:rPr>
        <w:t>Equity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Partnership distributions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Ferrellgas, L.P. has recognized the following distributions: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880" w:type="dxa"/>
            <w:vAlign w:val="bottom"/>
            <w:gridSpan w:val="4"/>
          </w:tcPr>
          <w:p>
            <w:pPr>
              <w:jc w:val="right"/>
              <w:ind w:right="32"/>
              <w:spacing w:after="0"/>
              <w:rPr>
                <w:sz w:val="20"/>
                <w:szCs w:val="20"/>
                <w:color w:val="auto"/>
              </w:rPr>
            </w:pPr>
            <w:r>
              <w:rPr>
                <w:rFonts w:ascii="Arial" w:cs="Arial" w:eastAsia="Arial" w:hAnsi="Arial"/>
                <w:sz w:val="10"/>
                <w:szCs w:val="10"/>
                <w:b w:val="1"/>
                <w:bCs w:val="1"/>
                <w:color w:val="auto"/>
              </w:rPr>
              <w:t>For the three months ended April 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6"/>
          </w:tcPr>
          <w:p>
            <w:pPr>
              <w:ind w:left="160"/>
              <w:spacing w:after="0"/>
              <w:rPr>
                <w:sz w:val="20"/>
                <w:szCs w:val="20"/>
                <w:color w:val="auto"/>
              </w:rPr>
            </w:pPr>
            <w:r>
              <w:rPr>
                <w:rFonts w:ascii="Arial" w:cs="Arial" w:eastAsia="Arial" w:hAnsi="Arial"/>
                <w:sz w:val="10"/>
                <w:szCs w:val="10"/>
                <w:b w:val="1"/>
                <w:bCs w:val="1"/>
                <w:color w:val="auto"/>
                <w:w w:val="99"/>
              </w:rPr>
              <w:t>For the nine months ended April 30,</w:t>
            </w:r>
          </w:p>
        </w:tc>
      </w:tr>
      <w:tr>
        <w:trPr>
          <w:trHeight w:val="88"/>
        </w:trPr>
        <w:tc>
          <w:tcPr>
            <w:tcW w:w="4820" w:type="dxa"/>
            <w:vAlign w:val="bottom"/>
            <w:tcBorders>
              <w:bottom w:val="single" w:sz="8" w:color="CCEEFF"/>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112"/>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top w:val="single" w:sz="8" w:color="auto"/>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32"/>
              <w:spacing w:after="0" w:line="88"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8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Ferrellgas Partners</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15,496</w:t>
            </w:r>
          </w:p>
        </w:tc>
        <w:tc>
          <w:tcPr>
            <w:tcW w:w="40" w:type="dxa"/>
            <w:vAlign w:val="bottom"/>
            <w:shd w:val="clear" w:color="auto" w:fill="CCEEFF"/>
          </w:tcPr>
          <w:p>
            <w:pPr>
              <w:spacing w:after="0"/>
              <w:rPr>
                <w:sz w:val="11"/>
                <w:szCs w:val="11"/>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General partner</w:t>
            </w:r>
          </w:p>
        </w:tc>
        <w:tc>
          <w:tcPr>
            <w:tcW w:w="720" w:type="dxa"/>
            <w:vAlign w:val="bottom"/>
          </w:tcPr>
          <w:p>
            <w:pPr>
              <w:spacing w:after="0"/>
              <w:rPr>
                <w:sz w:val="13"/>
                <w:szCs w:val="13"/>
                <w:color w:val="auto"/>
              </w:rPr>
            </w:pPr>
          </w:p>
        </w:tc>
        <w:tc>
          <w:tcPr>
            <w:tcW w:w="4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158</w:t>
            </w:r>
          </w:p>
        </w:tc>
        <w:tc>
          <w:tcPr>
            <w:tcW w:w="40" w:type="dxa"/>
            <w:vAlign w:val="bottom"/>
          </w:tcPr>
          <w:p>
            <w:pPr>
              <w:spacing w:after="0"/>
              <w:rPr>
                <w:sz w:val="13"/>
                <w:szCs w:val="13"/>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additional discussions about transactions with related parties in Note K – Transactions with related parties.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Accumulated other comprehensive income (loss) (“AOCI”)</w:t>
      </w:r>
    </w:p>
    <w:p>
      <w:pPr>
        <w:spacing w:after="0" w:line="78"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See Note J – Derivative instruments and hedging activities for details regarding changes in the fair value of risk management financial derivatives recorded within AOCI for the three and nine months ended April 30, 2021 and 2020.</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General partner’s commitment to maintain its capital account</w:t>
      </w:r>
    </w:p>
    <w:p>
      <w:pPr>
        <w:spacing w:after="0" w:line="78" w:lineRule="exact"/>
        <w:rPr>
          <w:sz w:val="20"/>
          <w:szCs w:val="20"/>
          <w:color w:val="auto"/>
        </w:rPr>
      </w:pPr>
    </w:p>
    <w:p>
      <w:pPr>
        <w:ind w:left="20" w:right="339"/>
        <w:spacing w:after="0" w:line="276" w:lineRule="auto"/>
        <w:rPr>
          <w:sz w:val="20"/>
          <w:szCs w:val="20"/>
          <w:color w:val="auto"/>
        </w:rPr>
      </w:pPr>
      <w:r>
        <w:rPr>
          <w:rFonts w:ascii="Arial" w:cs="Arial" w:eastAsia="Arial" w:hAnsi="Arial"/>
          <w:sz w:val="12"/>
          <w:szCs w:val="12"/>
          <w:color w:val="auto"/>
        </w:rPr>
        <w:t>Ferrellgas, L.P.’s partnership agreement allows the general partner to have an option to maintain its 1.0101% general partner interest concurrent with the issuance of other additional equity.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6" w:name="page57"/>
    <w:bookmarkEnd w:id="5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the nine months ended April 30, 2021, the general partner made non-cash contributions of $23.0 thousand to Ferrellgas, L.P. to maintain its 1.0101% general partner interest.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the nine months ended April 30, 2020, the general partner made non-cash contributions of $22.0 thousand to Ferrellgas, L.P. to maintain its 1.0101% general partner interest.</w:t>
      </w:r>
    </w:p>
    <w:p>
      <w:pPr>
        <w:spacing w:after="0" w:line="158" w:lineRule="exact"/>
        <w:rPr>
          <w:sz w:val="20"/>
          <w:szCs w:val="20"/>
          <w:color w:val="auto"/>
        </w:rPr>
      </w:pPr>
    </w:p>
    <w:p>
      <w:pPr>
        <w:ind w:left="220" w:hanging="198"/>
        <w:spacing w:after="0"/>
        <w:tabs>
          <w:tab w:leader="none" w:pos="220"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Revenue from contracts with customers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Disaggregation of revenue</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Ferrellgas, L.P.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ind w:left="20"/>
              <w:spacing w:after="0"/>
              <w:rPr>
                <w:sz w:val="20"/>
                <w:szCs w:val="20"/>
                <w:color w:val="auto"/>
              </w:rPr>
            </w:pPr>
            <w:r>
              <w:rPr>
                <w:rFonts w:ascii="Arial" w:cs="Arial" w:eastAsia="Arial" w:hAnsi="Arial"/>
                <w:sz w:val="10"/>
                <w:szCs w:val="10"/>
                <w:b w:val="1"/>
                <w:bCs w:val="1"/>
                <w:color w:val="auto"/>
              </w:rPr>
              <w:t>For the three months ended April 30,</w:t>
            </w:r>
          </w:p>
        </w:tc>
        <w:tc>
          <w:tcPr>
            <w:tcW w:w="160" w:type="dxa"/>
            <w:vAlign w:val="bottom"/>
          </w:tcPr>
          <w:p>
            <w:pPr>
              <w:spacing w:after="0"/>
              <w:rPr>
                <w:sz w:val="10"/>
                <w:szCs w:val="10"/>
                <w:color w:val="auto"/>
              </w:rPr>
            </w:pPr>
          </w:p>
        </w:tc>
        <w:tc>
          <w:tcPr>
            <w:tcW w:w="1920" w:type="dxa"/>
            <w:vAlign w:val="bottom"/>
            <w:gridSpan w:val="5"/>
          </w:tcPr>
          <w:p>
            <w:pPr>
              <w:ind w:left="120"/>
              <w:spacing w:after="0"/>
              <w:rPr>
                <w:sz w:val="20"/>
                <w:szCs w:val="20"/>
                <w:color w:val="auto"/>
              </w:rPr>
            </w:pPr>
            <w:r>
              <w:rPr>
                <w:rFonts w:ascii="Arial" w:cs="Arial" w:eastAsia="Arial" w:hAnsi="Arial"/>
                <w:sz w:val="10"/>
                <w:szCs w:val="10"/>
                <w:b w:val="1"/>
                <w:bCs w:val="1"/>
                <w:color w:val="auto"/>
              </w:rPr>
              <w:t>For the nine months ended April 30,</w:t>
            </w:r>
          </w:p>
        </w:tc>
      </w:tr>
      <w:tr>
        <w:trPr>
          <w:trHeight w:val="88"/>
        </w:trPr>
        <w:tc>
          <w:tcPr>
            <w:tcW w:w="50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4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2"/>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2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5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Retail - Sales to End Users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392,838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286,163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945,833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840,649</w:t>
            </w:r>
          </w:p>
        </w:tc>
        <w:tc>
          <w:tcPr>
            <w:tcW w:w="40" w:type="dxa"/>
            <w:vAlign w:val="bottom"/>
            <w:shd w:val="clear" w:color="auto" w:fill="CCEEFF"/>
          </w:tcPr>
          <w:p>
            <w:pPr>
              <w:spacing w:after="0"/>
              <w:rPr>
                <w:sz w:val="11"/>
                <w:szCs w:val="11"/>
                <w:color w:val="auto"/>
              </w:rPr>
            </w:pP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Wholesale - Sales to Resellers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140,015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103,686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381,357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291,445</w:t>
            </w:r>
          </w:p>
        </w:tc>
        <w:tc>
          <w:tcPr>
            <w:tcW w:w="40" w:type="dxa"/>
            <w:vAlign w:val="bottom"/>
          </w:tcPr>
          <w:p>
            <w:pPr>
              <w:spacing w:after="0"/>
              <w:rPr>
                <w:sz w:val="12"/>
                <w:szCs w:val="12"/>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Other Gas Sales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18,283</w:t>
            </w:r>
          </w:p>
        </w:tc>
        <w:tc>
          <w:tcPr>
            <w:tcW w:w="40" w:type="dxa"/>
            <w:vAlign w:val="bottom"/>
            <w:shd w:val="clear" w:color="auto" w:fill="CCEEFF"/>
          </w:tcPr>
          <w:p>
            <w:pPr>
              <w:spacing w:after="0"/>
              <w:rPr>
                <w:sz w:val="12"/>
                <w:szCs w:val="12"/>
                <w:color w:val="auto"/>
              </w:rPr>
            </w:pPr>
          </w:p>
        </w:tc>
      </w:tr>
      <w:tr>
        <w:trPr>
          <w:trHeight w:val="144"/>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22,694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20,385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67,665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65,800</w:t>
            </w:r>
          </w:p>
        </w:tc>
        <w:tc>
          <w:tcPr>
            <w:tcW w:w="40" w:type="dxa"/>
            <w:vAlign w:val="bottom"/>
            <w:tcBorders>
              <w:bottom w:val="single" w:sz="8" w:color="CCEEFF"/>
            </w:tcBorders>
          </w:tcPr>
          <w:p>
            <w:pPr>
              <w:spacing w:after="0"/>
              <w:rPr>
                <w:sz w:val="12"/>
                <w:szCs w:val="12"/>
                <w:color w:val="auto"/>
              </w:rPr>
            </w:pPr>
          </w:p>
        </w:tc>
      </w:tr>
      <w:tr>
        <w:trPr>
          <w:trHeight w:val="140"/>
        </w:trPr>
        <w:tc>
          <w:tcPr>
            <w:tcW w:w="5000" w:type="dxa"/>
            <w:vAlign w:val="bottom"/>
            <w:tcBorders>
              <w:bottom w:val="single" w:sz="8" w:color="CCEEFF"/>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Propane and related equipment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564,730</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412,130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1,419,184</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1,216,177</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assets and liabilities</w:t>
      </w:r>
    </w:p>
    <w:p>
      <w:pPr>
        <w:spacing w:after="0" w:line="150" w:lineRule="exact"/>
        <w:rPr>
          <w:sz w:val="20"/>
          <w:szCs w:val="20"/>
          <w:color w:val="auto"/>
        </w:rPr>
      </w:pPr>
    </w:p>
    <w:p>
      <w:pPr>
        <w:ind w:left="20" w:right="79"/>
        <w:spacing w:after="0" w:line="316" w:lineRule="auto"/>
        <w:rPr>
          <w:sz w:val="20"/>
          <w:szCs w:val="20"/>
          <w:color w:val="auto"/>
        </w:rPr>
      </w:pPr>
      <w:r>
        <w:rPr>
          <w:rFonts w:ascii="Arial" w:cs="Arial" w:eastAsia="Arial" w:hAnsi="Arial"/>
          <w:sz w:val="10"/>
          <w:szCs w:val="10"/>
          <w:color w:val="auto"/>
        </w:rPr>
        <w:t>Ferrellgas, L.P.’s performance obligations are generally limited to the delivery of propane for our retail and wholesale contracts. Ferrellgas, L.P.’s performance obligations with respect to sales of appliances and other materials and other revenues are limited to the delivery of the agreed upon good or service. Ferrellgas, L.P. does not have material performance obligations that are delivered over time, thus all of our revenue is recognized at the time the goods, including propane, are delivered or installed. Ferrellgas, L.P. offers “even pay” billing programs that can create customer deposits or advances, depending on whether Ferrellgas, L.P.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00"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Ferrellgas, L.P.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L.P. does not capitalize these costs.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the opening and closing balances of Ferrellgas, L.P.’s receivables, contract assets, and contract liabilities: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April 30, 2021</w:t>
            </w:r>
          </w:p>
        </w:tc>
        <w:tc>
          <w:tcPr>
            <w:tcW w:w="140" w:type="dxa"/>
            <w:vAlign w:val="bottom"/>
          </w:tcPr>
          <w:p>
            <w:pPr>
              <w:spacing w:after="0"/>
              <w:rPr>
                <w:sz w:val="10"/>
                <w:szCs w:val="10"/>
                <w:color w:val="auto"/>
              </w:rPr>
            </w:pPr>
          </w:p>
        </w:tc>
        <w:tc>
          <w:tcPr>
            <w:tcW w:w="800" w:type="dxa"/>
            <w:vAlign w:val="bottom"/>
          </w:tcPr>
          <w:p>
            <w:pPr>
              <w:jc w:val="right"/>
              <w:ind w:right="143"/>
              <w:spacing w:after="0"/>
              <w:rPr>
                <w:sz w:val="20"/>
                <w:szCs w:val="20"/>
                <w:color w:val="auto"/>
              </w:rPr>
            </w:pPr>
            <w:r>
              <w:rPr>
                <w:rFonts w:ascii="Arial" w:cs="Arial" w:eastAsia="Arial" w:hAnsi="Arial"/>
                <w:sz w:val="10"/>
                <w:szCs w:val="10"/>
                <w:b w:val="1"/>
                <w:bCs w:val="1"/>
                <w:color w:val="auto"/>
                <w:w w:val="93"/>
              </w:rPr>
              <w:t>July 31, 2020</w:t>
            </w:r>
          </w:p>
        </w:tc>
      </w:tr>
      <w:tr>
        <w:trPr>
          <w:trHeight w:val="133"/>
        </w:trPr>
        <w:tc>
          <w:tcPr>
            <w:tcW w:w="6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Accounts receivable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172,660</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108,483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Contract assets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16,498</w:t>
            </w:r>
          </w:p>
        </w:tc>
        <w:tc>
          <w:tcPr>
            <w:tcW w:w="2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7,079</w:t>
            </w: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3"/>
        </w:trPr>
        <w:tc>
          <w:tcPr>
            <w:tcW w:w="6680" w:type="dxa"/>
            <w:vAlign w:val="bottom"/>
          </w:tcPr>
          <w:p>
            <w:pPr>
              <w:ind w:left="100"/>
              <w:spacing w:after="0"/>
              <w:rPr>
                <w:sz w:val="20"/>
                <w:szCs w:val="20"/>
                <w:color w:val="auto"/>
              </w:rPr>
            </w:pPr>
            <w:r>
              <w:rPr>
                <w:rFonts w:ascii="Arial" w:cs="Arial" w:eastAsia="Arial" w:hAnsi="Arial"/>
                <w:sz w:val="12"/>
                <w:szCs w:val="12"/>
                <w:color w:val="auto"/>
              </w:rPr>
              <w:t>Deferred revenue (1)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39,378</w:t>
            </w:r>
          </w:p>
        </w:tc>
        <w:tc>
          <w:tcPr>
            <w:tcW w:w="2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42,911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14230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6" w:lineRule="exact"/>
        <w:rPr>
          <w:sz w:val="20"/>
          <w:szCs w:val="20"/>
          <w:color w:val="auto"/>
        </w:rPr>
      </w:pPr>
    </w:p>
    <w:p>
      <w:pPr>
        <w:ind w:left="4440" w:right="2359" w:hanging="4418"/>
        <w:spacing w:after="0" w:line="839" w:lineRule="auto"/>
        <w:tabs>
          <w:tab w:leader="none" w:pos="234" w:val="left"/>
        </w:tabs>
        <w:numPr>
          <w:ilvl w:val="0"/>
          <w:numId w:val="43"/>
        </w:numPr>
        <w:rPr>
          <w:rFonts w:ascii="Arial" w:cs="Arial" w:eastAsia="Arial" w:hAnsi="Arial"/>
          <w:sz w:val="12"/>
          <w:szCs w:val="12"/>
          <w:color w:val="auto"/>
        </w:rPr>
      </w:pPr>
      <w:r>
        <w:rPr>
          <w:rFonts w:ascii="Arial" w:cs="Arial" w:eastAsia="Arial" w:hAnsi="Arial"/>
          <w:sz w:val="12"/>
          <w:szCs w:val="12"/>
          <w:color w:val="auto"/>
        </w:rPr>
        <w:t>Of the beginning balance of deferred revenue, $34.3 million was recognized as revenue during the nine months ended April 30, 2021.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7" w:name="page58"/>
    <w:bookmarkEnd w:id="5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Remaining performance obligations</w:t>
      </w:r>
    </w:p>
    <w:p>
      <w:pPr>
        <w:spacing w:after="0" w:line="154"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Ferrellgas, L.P.’s remaining performance obligations are generally limited to situations where its customers have remitted payment but have not yet received deliveries of propane. This most commonly occurs in Ferrellgas, L.P.’s even pay billing programs and Ferrellgas, L.P. expects that these balances will be recognized within a year or less as the customer takes delivery of propane.</w:t>
      </w:r>
    </w:p>
    <w:p>
      <w:pPr>
        <w:spacing w:after="0" w:line="118" w:lineRule="exact"/>
        <w:rPr>
          <w:sz w:val="20"/>
          <w:szCs w:val="20"/>
          <w:color w:val="auto"/>
        </w:rPr>
      </w:pPr>
    </w:p>
    <w:p>
      <w:pPr>
        <w:ind w:left="240" w:hanging="218"/>
        <w:spacing w:after="0"/>
        <w:tabs>
          <w:tab w:leader="none" w:pos="240"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Fair value measurements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financial instruments</w:t>
      </w:r>
    </w:p>
    <w:p>
      <w:pPr>
        <w:spacing w:after="0" w:line="150"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The following table presents Ferrellgas, L.P.’s financial assets and financial liabilities that are measured at fair value on a recurring basis for each of the fair value hierarchy levels, including both current and noncurrent portions, as of April 30, 2021 and July 31, 2020: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480"/>
              <w:spacing w:after="0"/>
              <w:rPr>
                <w:sz w:val="20"/>
                <w:szCs w:val="20"/>
                <w:color w:val="auto"/>
              </w:rPr>
            </w:pPr>
            <w:r>
              <w:rPr>
                <w:rFonts w:ascii="Arial" w:cs="Arial" w:eastAsia="Arial" w:hAnsi="Arial"/>
                <w:sz w:val="10"/>
                <w:szCs w:val="10"/>
                <w:b w:val="1"/>
                <w:bCs w:val="1"/>
                <w:color w:val="auto"/>
                <w:w w:val="91"/>
              </w:rPr>
              <w:t>Asset (Liability)</w:t>
            </w: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r>
        <w:trPr>
          <w:trHeight w:val="74"/>
        </w:trPr>
        <w:tc>
          <w:tcPr>
            <w:tcW w:w="3840" w:type="dxa"/>
            <w:vAlign w:val="bottom"/>
          </w:tcPr>
          <w:p>
            <w:pPr>
              <w:spacing w:after="0"/>
              <w:rPr>
                <w:sz w:val="6"/>
                <w:szCs w:val="6"/>
                <w:color w:val="auto"/>
              </w:rPr>
            </w:pPr>
          </w:p>
        </w:tc>
        <w:tc>
          <w:tcPr>
            <w:tcW w:w="1260" w:type="dxa"/>
            <w:vAlign w:val="bottom"/>
          </w:tcPr>
          <w:p>
            <w:pPr>
              <w:jc w:val="center"/>
              <w:ind w:left="173"/>
              <w:spacing w:after="0" w:line="74" w:lineRule="exact"/>
              <w:rPr>
                <w:sz w:val="20"/>
                <w:szCs w:val="20"/>
                <w:color w:val="auto"/>
              </w:rPr>
            </w:pPr>
            <w:r>
              <w:rPr>
                <w:rFonts w:ascii="Arial" w:cs="Arial" w:eastAsia="Arial" w:hAnsi="Arial"/>
                <w:sz w:val="8"/>
                <w:szCs w:val="8"/>
                <w:b w:val="1"/>
                <w:bCs w:val="1"/>
                <w:color w:val="auto"/>
              </w:rPr>
              <w:t>Quoted Prices in Active</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99"/>
        </w:trPr>
        <w:tc>
          <w:tcPr>
            <w:tcW w:w="3840" w:type="dxa"/>
            <w:vAlign w:val="bottom"/>
          </w:tcPr>
          <w:p>
            <w:pPr>
              <w:spacing w:after="0"/>
              <w:rPr>
                <w:sz w:val="8"/>
                <w:szCs w:val="8"/>
                <w:color w:val="auto"/>
              </w:rPr>
            </w:pPr>
          </w:p>
        </w:tc>
        <w:tc>
          <w:tcPr>
            <w:tcW w:w="1260" w:type="dxa"/>
            <w:vAlign w:val="bottom"/>
          </w:tcPr>
          <w:p>
            <w:pPr>
              <w:jc w:val="center"/>
              <w:ind w:left="173"/>
              <w:spacing w:after="0" w:line="99" w:lineRule="exact"/>
              <w:rPr>
                <w:sz w:val="20"/>
                <w:szCs w:val="20"/>
                <w:color w:val="auto"/>
              </w:rPr>
            </w:pPr>
            <w:r>
              <w:rPr>
                <w:rFonts w:ascii="Arial" w:cs="Arial" w:eastAsia="Arial" w:hAnsi="Arial"/>
                <w:sz w:val="10"/>
                <w:szCs w:val="10"/>
                <w:b w:val="1"/>
                <w:bCs w:val="1"/>
                <w:color w:val="auto"/>
                <w:w w:val="90"/>
              </w:rPr>
              <w:t>Markets for Identical</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Significant Other</w:t>
            </w: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99"/>
        </w:trPr>
        <w:tc>
          <w:tcPr>
            <w:tcW w:w="3840" w:type="dxa"/>
            <w:vAlign w:val="bottom"/>
          </w:tcPr>
          <w:p>
            <w:pPr>
              <w:spacing w:after="0"/>
              <w:rPr>
                <w:sz w:val="8"/>
                <w:szCs w:val="8"/>
                <w:color w:val="auto"/>
              </w:rPr>
            </w:pPr>
          </w:p>
        </w:tc>
        <w:tc>
          <w:tcPr>
            <w:tcW w:w="1260" w:type="dxa"/>
            <w:vAlign w:val="bottom"/>
          </w:tcPr>
          <w:p>
            <w:pPr>
              <w:jc w:val="center"/>
              <w:ind w:left="173"/>
              <w:spacing w:after="0" w:line="99" w:lineRule="exact"/>
              <w:rPr>
                <w:sz w:val="20"/>
                <w:szCs w:val="20"/>
                <w:color w:val="auto"/>
              </w:rPr>
            </w:pPr>
            <w:r>
              <w:rPr>
                <w:rFonts w:ascii="Arial" w:cs="Arial" w:eastAsia="Arial" w:hAnsi="Arial"/>
                <w:sz w:val="10"/>
                <w:szCs w:val="10"/>
                <w:b w:val="1"/>
                <w:bCs w:val="1"/>
                <w:color w:val="auto"/>
                <w:w w:val="86"/>
              </w:rPr>
              <w:t>Assets and Liabilities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Observable Inputs</w:t>
            </w:r>
          </w:p>
        </w:tc>
        <w:tc>
          <w:tcPr>
            <w:tcW w:w="140" w:type="dxa"/>
            <w:vAlign w:val="bottom"/>
          </w:tcPr>
          <w:p>
            <w:pPr>
              <w:spacing w:after="0"/>
              <w:rPr>
                <w:sz w:val="8"/>
                <w:szCs w:val="8"/>
                <w:color w:val="auto"/>
              </w:rPr>
            </w:pPr>
          </w:p>
        </w:tc>
        <w:tc>
          <w:tcPr>
            <w:tcW w:w="1320" w:type="dxa"/>
            <w:vAlign w:val="bottom"/>
            <w:gridSpan w:val="2"/>
          </w:tcPr>
          <w:p>
            <w:pPr>
              <w:ind w:left="80"/>
              <w:spacing w:after="0" w:line="99" w:lineRule="exact"/>
              <w:rPr>
                <w:sz w:val="20"/>
                <w:szCs w:val="20"/>
                <w:color w:val="auto"/>
              </w:rPr>
            </w:pPr>
            <w:r>
              <w:rPr>
                <w:rFonts w:ascii="Arial" w:cs="Arial" w:eastAsia="Arial" w:hAnsi="Arial"/>
                <w:sz w:val="10"/>
                <w:szCs w:val="10"/>
                <w:b w:val="1"/>
                <w:bCs w:val="1"/>
                <w:color w:val="auto"/>
              </w:rPr>
              <w:t>Unobservable Inputs</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13"/>
        </w:trPr>
        <w:tc>
          <w:tcPr>
            <w:tcW w:w="3840" w:type="dxa"/>
            <w:vAlign w:val="bottom"/>
          </w:tcPr>
          <w:p>
            <w:pPr>
              <w:spacing w:after="0"/>
              <w:rPr>
                <w:sz w:val="9"/>
                <w:szCs w:val="9"/>
                <w:color w:val="auto"/>
              </w:rPr>
            </w:pPr>
          </w:p>
        </w:tc>
        <w:tc>
          <w:tcPr>
            <w:tcW w:w="1260" w:type="dxa"/>
            <w:vAlign w:val="bottom"/>
          </w:tcPr>
          <w:p>
            <w:pPr>
              <w:jc w:val="center"/>
              <w:ind w:left="173"/>
              <w:spacing w:after="0" w:line="114" w:lineRule="exact"/>
              <w:rPr>
                <w:sz w:val="20"/>
                <w:szCs w:val="20"/>
                <w:color w:val="auto"/>
              </w:rPr>
            </w:pPr>
            <w:r>
              <w:rPr>
                <w:rFonts w:ascii="Arial" w:cs="Arial" w:eastAsia="Arial" w:hAnsi="Arial"/>
                <w:sz w:val="10"/>
                <w:szCs w:val="10"/>
                <w:b w:val="1"/>
                <w:bCs w:val="1"/>
                <w:color w:val="auto"/>
                <w:w w:val="88"/>
              </w:rPr>
              <w:t>(Level 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3"/>
              </w:rPr>
              <w:t>(Level 2)</w:t>
            </w:r>
          </w:p>
        </w:tc>
        <w:tc>
          <w:tcPr>
            <w:tcW w:w="140" w:type="dxa"/>
            <w:vAlign w:val="bottom"/>
          </w:tcPr>
          <w:p>
            <w:pPr>
              <w:spacing w:after="0"/>
              <w:rPr>
                <w:sz w:val="9"/>
                <w:szCs w:val="9"/>
                <w:color w:val="auto"/>
              </w:rPr>
            </w:pPr>
          </w:p>
        </w:tc>
        <w:tc>
          <w:tcPr>
            <w:tcW w:w="1320" w:type="dxa"/>
            <w:vAlign w:val="bottom"/>
            <w:gridSpan w:val="2"/>
          </w:tcPr>
          <w:p>
            <w:pPr>
              <w:ind w:left="340"/>
              <w:spacing w:after="0" w:line="114" w:lineRule="exact"/>
              <w:rPr>
                <w:sz w:val="20"/>
                <w:szCs w:val="20"/>
                <w:color w:val="auto"/>
              </w:rPr>
            </w:pPr>
            <w:r>
              <w:rPr>
                <w:rFonts w:ascii="Arial" w:cs="Arial" w:eastAsia="Arial" w:hAnsi="Arial"/>
                <w:sz w:val="10"/>
                <w:szCs w:val="10"/>
                <w:b w:val="1"/>
                <w:bCs w:val="1"/>
                <w:color w:val="auto"/>
              </w:rPr>
              <w:t>(Level 3)</w:t>
            </w:r>
          </w:p>
        </w:tc>
        <w:tc>
          <w:tcPr>
            <w:tcW w:w="160" w:type="dxa"/>
            <w:vAlign w:val="bottom"/>
          </w:tcPr>
          <w:p>
            <w:pPr>
              <w:spacing w:after="0"/>
              <w:rPr>
                <w:sz w:val="9"/>
                <w:szCs w:val="9"/>
                <w:color w:val="auto"/>
              </w:rPr>
            </w:pPr>
          </w:p>
        </w:tc>
        <w:tc>
          <w:tcPr>
            <w:tcW w:w="560" w:type="dxa"/>
            <w:vAlign w:val="bottom"/>
          </w:tcPr>
          <w:p>
            <w:pPr>
              <w:jc w:val="right"/>
              <w:ind w:right="202"/>
              <w:spacing w:after="0" w:line="114" w:lineRule="exact"/>
              <w:rPr>
                <w:sz w:val="20"/>
                <w:szCs w:val="20"/>
                <w:color w:val="auto"/>
              </w:rPr>
            </w:pPr>
            <w:r>
              <w:rPr>
                <w:rFonts w:ascii="Arial" w:cs="Arial" w:eastAsia="Arial" w:hAnsi="Arial"/>
                <w:sz w:val="10"/>
                <w:szCs w:val="10"/>
                <w:b w:val="1"/>
                <w:bCs w:val="1"/>
                <w:color w:val="auto"/>
              </w:rPr>
              <w:t>Total</w:t>
            </w:r>
          </w:p>
        </w:tc>
      </w:tr>
      <w:tr>
        <w:trPr>
          <w:trHeight w:val="133"/>
        </w:trPr>
        <w:tc>
          <w:tcPr>
            <w:tcW w:w="3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April 30, 2021:</w:t>
            </w:r>
          </w:p>
        </w:tc>
        <w:tc>
          <w:tcPr>
            <w:tcW w:w="1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140"/>
              <w:spacing w:after="0"/>
              <w:rPr>
                <w:sz w:val="20"/>
                <w:szCs w:val="20"/>
                <w:color w:val="auto"/>
              </w:rPr>
            </w:pPr>
            <w:r>
              <w:rPr>
                <w:rFonts w:ascii="Arial" w:cs="Arial" w:eastAsia="Arial" w:hAnsi="Arial"/>
                <w:sz w:val="12"/>
                <w:szCs w:val="12"/>
                <w:color w:val="auto"/>
              </w:rPr>
              <w:t>Commodity derivatives</w:t>
            </w:r>
          </w:p>
        </w:tc>
        <w:tc>
          <w:tcPr>
            <w:tcW w:w="1260" w:type="dxa"/>
            <w:vAlign w:val="bottom"/>
          </w:tcPr>
          <w:p>
            <w:pPr>
              <w:jc w:val="right"/>
              <w:ind w:right="1153"/>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33,914</w:t>
            </w:r>
          </w:p>
        </w:tc>
        <w:tc>
          <w:tcPr>
            <w:tcW w:w="1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33,914</w:t>
            </w: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8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Commodity derivatives</w:t>
            </w:r>
          </w:p>
        </w:tc>
        <w:tc>
          <w:tcPr>
            <w:tcW w:w="1260" w:type="dxa"/>
            <w:vAlign w:val="bottom"/>
            <w:shd w:val="clear" w:color="auto" w:fill="CCEEFF"/>
          </w:tcPr>
          <w:p>
            <w:pPr>
              <w:jc w:val="right"/>
              <w:ind w:right="1153"/>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(1,731)</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(1,731)</w:t>
            </w:r>
          </w:p>
        </w:tc>
      </w:tr>
      <w:tr>
        <w:trPr>
          <w:trHeight w:val="144"/>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July 31, 2020:</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140"/>
              <w:spacing w:after="0"/>
              <w:rPr>
                <w:sz w:val="20"/>
                <w:szCs w:val="20"/>
                <w:color w:val="auto"/>
              </w:rPr>
            </w:pPr>
            <w:r>
              <w:rPr>
                <w:rFonts w:ascii="Arial" w:cs="Arial" w:eastAsia="Arial" w:hAnsi="Arial"/>
                <w:sz w:val="12"/>
                <w:szCs w:val="12"/>
                <w:color w:val="auto"/>
              </w:rPr>
              <w:t>Commodity derivatives</w:t>
            </w:r>
          </w:p>
        </w:tc>
        <w:tc>
          <w:tcPr>
            <w:tcW w:w="1260" w:type="dxa"/>
            <w:vAlign w:val="bottom"/>
          </w:tcPr>
          <w:p>
            <w:pPr>
              <w:jc w:val="right"/>
              <w:ind w:right="1153"/>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3,112</w:t>
            </w:r>
          </w:p>
        </w:tc>
        <w:tc>
          <w:tcPr>
            <w:tcW w:w="1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3,112</w:t>
            </w:r>
          </w:p>
        </w:tc>
      </w:tr>
      <w:tr>
        <w:trPr>
          <w:trHeight w:val="144"/>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3840" w:type="dxa"/>
            <w:vAlign w:val="bottom"/>
          </w:tcPr>
          <w:p>
            <w:pPr>
              <w:ind w:left="8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Commodity derivatives</w:t>
            </w:r>
          </w:p>
        </w:tc>
        <w:tc>
          <w:tcPr>
            <w:tcW w:w="1260" w:type="dxa"/>
            <w:vAlign w:val="bottom"/>
            <w:shd w:val="clear" w:color="auto" w:fill="CCEEFF"/>
          </w:tcPr>
          <w:p>
            <w:pPr>
              <w:jc w:val="right"/>
              <w:ind w:right="1153"/>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(5,425)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(5,425)</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Methodology</w:t>
      </w:r>
    </w:p>
    <w:p>
      <w:pPr>
        <w:spacing w:after="0" w:line="150"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The fair values of Ferrellgas, L.P.’s non-exchange traded commodity derivative contracts are based upon indicative price quotations available through brokers, industry price publications or recent market transactions and related market indicators.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Other financial instruments</w:t>
      </w:r>
    </w:p>
    <w:p>
      <w:pPr>
        <w:spacing w:after="0" w:line="150"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The carrying amounts of other financial instruments included in current assets and current liabilities (except for current maturities of long-term debt) approximate their fair values because of their short-term nature. At April 30, 2021 and July 31, 2020, the estimated fair value of Ferrellgas, L.P.’s long-term debt instruments was $1,462.4 million and $2,054.4 million, respectively. Ferrellgas, L.P. estimates the fair value of long-term debt based on quoted market prices. The fair value of Ferrellgas, L.P.’s consolidated debt obligations is a Level 2 valuation based on the observable inputs used for similar liabilities.</w:t>
      </w:r>
    </w:p>
    <w:p>
      <w:pPr>
        <w:spacing w:after="0" w:line="124"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Ferrellgas, L.P.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8" w:name="page59"/>
    <w:bookmarkEnd w:id="5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260" w:hanging="238"/>
        <w:spacing w:after="0"/>
        <w:tabs>
          <w:tab w:leader="none" w:pos="260"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Derivative instruments and hedging activities</w:t>
      </w:r>
    </w:p>
    <w:p>
      <w:pPr>
        <w:spacing w:after="0" w:line="15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Ferrellgas, L.P. is exposed to certain market risks related to its ongoing business operations. These risks include exposure to changing commodity prices as well as fluctuations in interest rates. Ferrellgas, L.P. utilizes derivative instruments to manage its exposure to fluctuations in commodity prices. Of these, the propane commodity derivative instruments are designated as cash flow hedges.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instruments and hedging activity</w:t>
      </w:r>
    </w:p>
    <w:p>
      <w:pPr>
        <w:spacing w:after="0" w:line="150"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During the nine months ended April 30, 2021 and 2020, Ferrellgas, L.P.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tables provide a summary of the fair value of derivatives within Ferrellgas, L.P.’s condensed consolidated balance sheets as of April 30, 2021 and July 31, 2020:</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Final</w:t>
            </w:r>
          </w:p>
        </w:tc>
        <w:tc>
          <w:tcPr>
            <w:tcW w:w="2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89"/>
              </w:rPr>
              <w:t>April 30, 2021</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88"/>
        </w:trPr>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7"/>
              </w:rPr>
              <w:t>Maturity</w:t>
            </w:r>
          </w:p>
        </w:tc>
        <w:tc>
          <w:tcPr>
            <w:tcW w:w="20" w:type="dxa"/>
            <w:vAlign w:val="bottom"/>
          </w:tcPr>
          <w:p>
            <w:pPr>
              <w:spacing w:after="0"/>
              <w:rPr>
                <w:sz w:val="7"/>
                <w:szCs w:val="7"/>
                <w:color w:val="auto"/>
              </w:rPr>
            </w:pPr>
          </w:p>
        </w:tc>
        <w:tc>
          <w:tcPr>
            <w:tcW w:w="2040" w:type="dxa"/>
            <w:vAlign w:val="bottom"/>
            <w:tcBorders>
              <w:bottom w:val="single" w:sz="8" w:color="auto"/>
            </w:tcBorders>
            <w:gridSpan w:val="2"/>
          </w:tcPr>
          <w:p>
            <w:pPr>
              <w:ind w:left="1080"/>
              <w:spacing w:after="0" w:line="88" w:lineRule="exact"/>
              <w:rPr>
                <w:sz w:val="20"/>
                <w:szCs w:val="20"/>
                <w:color w:val="auto"/>
              </w:rPr>
            </w:pPr>
            <w:r>
              <w:rPr>
                <w:rFonts w:ascii="Arial" w:cs="Arial" w:eastAsia="Arial" w:hAnsi="Arial"/>
                <w:sz w:val="10"/>
                <w:szCs w:val="10"/>
                <w:b w:val="1"/>
                <w:bCs w:val="1"/>
                <w:color w:val="auto"/>
              </w:rPr>
              <w:t>Asset Derivatives</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Borders>
              <w:bottom w:val="single" w:sz="8" w:color="auto"/>
            </w:tcBorders>
            <w:gridSpan w:val="6"/>
          </w:tcPr>
          <w:p>
            <w:pPr>
              <w:jc w:val="right"/>
              <w:ind w:right="483"/>
              <w:spacing w:after="0" w:line="88" w:lineRule="exact"/>
              <w:rPr>
                <w:sz w:val="20"/>
                <w:szCs w:val="20"/>
                <w:color w:val="auto"/>
              </w:rPr>
            </w:pPr>
            <w:r>
              <w:rPr>
                <w:rFonts w:ascii="Arial" w:cs="Arial" w:eastAsia="Arial" w:hAnsi="Arial"/>
                <w:sz w:val="10"/>
                <w:szCs w:val="10"/>
                <w:b w:val="1"/>
                <w:bCs w:val="1"/>
                <w:color w:val="auto"/>
              </w:rPr>
              <w:t>Liability Derivatives</w:t>
            </w:r>
          </w:p>
        </w:tc>
      </w:tr>
      <w:tr>
        <w:trPr>
          <w:trHeight w:val="88"/>
        </w:trPr>
        <w:tc>
          <w:tcPr>
            <w:tcW w:w="282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2"/>
              </w:rPr>
              <w:t>Date</w:t>
            </w:r>
          </w:p>
        </w:tc>
        <w:tc>
          <w:tcPr>
            <w:tcW w:w="20" w:type="dxa"/>
            <w:vAlign w:val="bottom"/>
          </w:tcPr>
          <w:p>
            <w:pPr>
              <w:spacing w:after="0"/>
              <w:rPr>
                <w:sz w:val="7"/>
                <w:szCs w:val="7"/>
                <w:color w:val="auto"/>
              </w:rPr>
            </w:pPr>
          </w:p>
        </w:tc>
        <w:tc>
          <w:tcPr>
            <w:tcW w:w="2040" w:type="dxa"/>
            <w:vAlign w:val="bottom"/>
            <w:gridSpan w:val="2"/>
          </w:tcPr>
          <w:p>
            <w:pPr>
              <w:ind w:left="840"/>
              <w:spacing w:after="0" w:line="88" w:lineRule="exact"/>
              <w:rPr>
                <w:sz w:val="20"/>
                <w:szCs w:val="20"/>
                <w:color w:val="auto"/>
              </w:rPr>
            </w:pPr>
            <w:r>
              <w:rPr>
                <w:rFonts w:ascii="Arial" w:cs="Arial" w:eastAsia="Arial" w:hAnsi="Arial"/>
                <w:sz w:val="10"/>
                <w:szCs w:val="10"/>
                <w:b w:val="1"/>
                <w:bCs w:val="1"/>
                <w:color w:val="auto"/>
              </w:rPr>
              <w:t>Location</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Fair value</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ind w:left="380"/>
              <w:spacing w:after="0" w:line="88" w:lineRule="exact"/>
              <w:rPr>
                <w:sz w:val="20"/>
                <w:szCs w:val="20"/>
                <w:color w:val="auto"/>
              </w:rPr>
            </w:pPr>
            <w:r>
              <w:rPr>
                <w:rFonts w:ascii="Arial" w:cs="Arial" w:eastAsia="Arial" w:hAnsi="Arial"/>
                <w:sz w:val="10"/>
                <w:szCs w:val="10"/>
                <w:b w:val="1"/>
                <w:bCs w:val="1"/>
                <w:color w:val="auto"/>
              </w:rPr>
              <w:t>Location</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63"/>
              <w:spacing w:after="0" w:line="88" w:lineRule="exact"/>
              <w:rPr>
                <w:sz w:val="20"/>
                <w:szCs w:val="20"/>
                <w:color w:val="auto"/>
              </w:rPr>
            </w:pPr>
            <w:r>
              <w:rPr>
                <w:rFonts w:ascii="Arial" w:cs="Arial" w:eastAsia="Arial" w:hAnsi="Arial"/>
                <w:sz w:val="10"/>
                <w:szCs w:val="10"/>
                <w:b w:val="1"/>
                <w:bCs w:val="1"/>
                <w:color w:val="auto"/>
                <w:w w:val="94"/>
              </w:rPr>
              <w:t>Fair value</w:t>
            </w:r>
          </w:p>
        </w:tc>
      </w:tr>
      <w:tr>
        <w:trPr>
          <w:trHeight w:val="133"/>
        </w:trPr>
        <w:tc>
          <w:tcPr>
            <w:tcW w:w="268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Derivatives designated as hedging instruments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December 2023</w:t>
            </w:r>
          </w:p>
        </w:tc>
        <w:tc>
          <w:tcPr>
            <w:tcW w:w="2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r>
      <w:tr>
        <w:trPr>
          <w:trHeight w:val="135"/>
        </w:trPr>
        <w:tc>
          <w:tcPr>
            <w:tcW w:w="2820" w:type="dxa"/>
            <w:vAlign w:val="bottom"/>
            <w:gridSpan w:val="4"/>
          </w:tcPr>
          <w:p>
            <w:pPr>
              <w:ind w:left="80"/>
              <w:spacing w:after="0" w:line="135" w:lineRule="exact"/>
              <w:rPr>
                <w:sz w:val="20"/>
                <w:szCs w:val="20"/>
                <w:color w:val="auto"/>
              </w:rPr>
            </w:pPr>
            <w:r>
              <w:rPr>
                <w:rFonts w:ascii="Arial" w:cs="Arial" w:eastAsia="Arial" w:hAnsi="Arial"/>
                <w:sz w:val="12"/>
                <w:szCs w:val="12"/>
                <w:color w:val="auto"/>
              </w:rPr>
              <w:t>Commodity derivatives-propane</w:t>
            </w: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2"/>
                <w:szCs w:val="12"/>
                <w:color w:val="auto"/>
                <w:w w:val="88"/>
              </w:rPr>
              <w:t>Prepaid expenses and other current assets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spacing w:after="0" w:line="135" w:lineRule="exact"/>
              <w:rPr>
                <w:sz w:val="20"/>
                <w:szCs w:val="20"/>
                <w:color w:val="auto"/>
              </w:rPr>
            </w:pPr>
            <w:r>
              <w:rPr>
                <w:rFonts w:ascii="Arial" w:cs="Arial" w:eastAsia="Arial" w:hAnsi="Arial"/>
                <w:sz w:val="12"/>
                <w:szCs w:val="12"/>
                <w:color w:val="auto"/>
              </w:rPr>
              <w:t>Other current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ind w:left="16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29,612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2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833</w:t>
            </w:r>
          </w:p>
        </w:tc>
      </w:tr>
      <w:tr>
        <w:trPr>
          <w:trHeight w:val="144"/>
        </w:trPr>
        <w:tc>
          <w:tcPr>
            <w:tcW w:w="282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Commodity derivatives-propane</w:t>
            </w: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898</w:t>
            </w:r>
          </w:p>
        </w:tc>
      </w:tr>
      <w:tr>
        <w:trPr>
          <w:trHeight w:val="140"/>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33,914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22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1,731</w:t>
            </w:r>
          </w:p>
        </w:tc>
      </w:tr>
      <w:tr>
        <w:trPr>
          <w:trHeight w:val="25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Final</w:t>
            </w:r>
          </w:p>
        </w:tc>
        <w:tc>
          <w:tcPr>
            <w:tcW w:w="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July 31, 2020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r>
      <w:tr>
        <w:trPr>
          <w:trHeight w:val="88"/>
        </w:trPr>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7"/>
              </w:rPr>
              <w:t>Maturity</w:t>
            </w:r>
          </w:p>
        </w:tc>
        <w:tc>
          <w:tcPr>
            <w:tcW w:w="2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tcPr>
          <w:p>
            <w:pPr>
              <w:ind w:left="1040"/>
              <w:spacing w:after="0" w:line="88" w:lineRule="exact"/>
              <w:rPr>
                <w:sz w:val="20"/>
                <w:szCs w:val="20"/>
                <w:color w:val="auto"/>
              </w:rPr>
            </w:pPr>
            <w:r>
              <w:rPr>
                <w:rFonts w:ascii="Arial" w:cs="Arial" w:eastAsia="Arial" w:hAnsi="Arial"/>
                <w:sz w:val="10"/>
                <w:szCs w:val="10"/>
                <w:b w:val="1"/>
                <w:bCs w:val="1"/>
                <w:color w:val="auto"/>
              </w:rPr>
              <w:t>Asset Derivatives</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5"/>
          </w:tcPr>
          <w:p>
            <w:pPr>
              <w:ind w:left="500"/>
              <w:spacing w:after="0" w:line="88" w:lineRule="exact"/>
              <w:rPr>
                <w:sz w:val="20"/>
                <w:szCs w:val="20"/>
                <w:color w:val="auto"/>
              </w:rPr>
            </w:pPr>
            <w:r>
              <w:rPr>
                <w:rFonts w:ascii="Arial" w:cs="Arial" w:eastAsia="Arial" w:hAnsi="Arial"/>
                <w:sz w:val="10"/>
                <w:szCs w:val="10"/>
                <w:b w:val="1"/>
                <w:bCs w:val="1"/>
                <w:color w:val="auto"/>
                <w:w w:val="87"/>
              </w:rPr>
              <w:t>Liability Derivatives</w:t>
            </w:r>
          </w:p>
        </w:tc>
        <w:tc>
          <w:tcPr>
            <w:tcW w:w="580" w:type="dxa"/>
            <w:vAlign w:val="bottom"/>
            <w:tcBorders>
              <w:bottom w:val="single" w:sz="8" w:color="auto"/>
            </w:tcBorders>
          </w:tcPr>
          <w:p>
            <w:pPr>
              <w:spacing w:after="0"/>
              <w:rPr>
                <w:sz w:val="7"/>
                <w:szCs w:val="7"/>
                <w:color w:val="auto"/>
              </w:rPr>
            </w:pPr>
          </w:p>
        </w:tc>
      </w:tr>
      <w:tr>
        <w:trPr>
          <w:trHeight w:val="88"/>
        </w:trPr>
        <w:tc>
          <w:tcPr>
            <w:tcW w:w="282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11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82"/>
              </w:rPr>
              <w:t>Date</w:t>
            </w:r>
          </w:p>
        </w:tc>
        <w:tc>
          <w:tcPr>
            <w:tcW w:w="20" w:type="dxa"/>
            <w:vAlign w:val="bottom"/>
          </w:tcPr>
          <w:p>
            <w:pPr>
              <w:spacing w:after="0"/>
              <w:rPr>
                <w:sz w:val="7"/>
                <w:szCs w:val="7"/>
                <w:color w:val="auto"/>
              </w:rPr>
            </w:pPr>
          </w:p>
        </w:tc>
        <w:tc>
          <w:tcPr>
            <w:tcW w:w="2040" w:type="dxa"/>
            <w:vAlign w:val="bottom"/>
            <w:gridSpan w:val="2"/>
          </w:tcPr>
          <w:p>
            <w:pPr>
              <w:ind w:left="820"/>
              <w:spacing w:after="0" w:line="88" w:lineRule="exact"/>
              <w:rPr>
                <w:sz w:val="20"/>
                <w:szCs w:val="20"/>
                <w:color w:val="auto"/>
              </w:rPr>
            </w:pPr>
            <w:r>
              <w:rPr>
                <w:rFonts w:ascii="Arial" w:cs="Arial" w:eastAsia="Arial" w:hAnsi="Arial"/>
                <w:sz w:val="10"/>
                <w:szCs w:val="10"/>
                <w:b w:val="1"/>
                <w:bCs w:val="1"/>
                <w:color w:val="auto"/>
              </w:rPr>
              <w:t>Location</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ind w:right="43"/>
              <w:spacing w:after="0" w:line="88" w:lineRule="exact"/>
              <w:rPr>
                <w:sz w:val="20"/>
                <w:szCs w:val="20"/>
                <w:color w:val="auto"/>
              </w:rPr>
            </w:pPr>
            <w:r>
              <w:rPr>
                <w:rFonts w:ascii="Arial" w:cs="Arial" w:eastAsia="Arial" w:hAnsi="Arial"/>
                <w:sz w:val="10"/>
                <w:szCs w:val="10"/>
                <w:b w:val="1"/>
                <w:bCs w:val="1"/>
                <w:color w:val="auto"/>
                <w:w w:val="89"/>
              </w:rPr>
              <w:t>Fair value</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ind w:left="300"/>
              <w:spacing w:after="0" w:line="88" w:lineRule="exact"/>
              <w:rPr>
                <w:sz w:val="20"/>
                <w:szCs w:val="20"/>
                <w:color w:val="auto"/>
              </w:rPr>
            </w:pPr>
            <w:r>
              <w:rPr>
                <w:rFonts w:ascii="Arial" w:cs="Arial" w:eastAsia="Arial" w:hAnsi="Arial"/>
                <w:sz w:val="10"/>
                <w:szCs w:val="10"/>
                <w:b w:val="1"/>
                <w:bCs w:val="1"/>
                <w:color w:val="auto"/>
              </w:rPr>
              <w:t>Location</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103"/>
              <w:spacing w:after="0" w:line="88" w:lineRule="exact"/>
              <w:rPr>
                <w:sz w:val="20"/>
                <w:szCs w:val="20"/>
                <w:color w:val="auto"/>
              </w:rPr>
            </w:pPr>
            <w:r>
              <w:rPr>
                <w:rFonts w:ascii="Arial" w:cs="Arial" w:eastAsia="Arial" w:hAnsi="Arial"/>
                <w:sz w:val="10"/>
                <w:szCs w:val="10"/>
                <w:b w:val="1"/>
                <w:bCs w:val="1"/>
                <w:color w:val="auto"/>
                <w:w w:val="85"/>
              </w:rPr>
              <w:t>Fair value</w:t>
            </w:r>
          </w:p>
        </w:tc>
      </w:tr>
      <w:tr>
        <w:trPr>
          <w:trHeight w:val="133"/>
        </w:trPr>
        <w:tc>
          <w:tcPr>
            <w:tcW w:w="26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Derivatives designated as hedging instruments</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December 2021</w:t>
            </w:r>
          </w:p>
        </w:tc>
        <w:tc>
          <w:tcPr>
            <w:tcW w:w="2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r>
      <w:tr>
        <w:trPr>
          <w:trHeight w:val="144"/>
        </w:trPr>
        <w:tc>
          <w:tcPr>
            <w:tcW w:w="2820" w:type="dxa"/>
            <w:vAlign w:val="bottom"/>
            <w:gridSpan w:val="4"/>
          </w:tcPr>
          <w:p>
            <w:pPr>
              <w:ind w:left="80"/>
              <w:spacing w:after="0"/>
              <w:rPr>
                <w:sz w:val="20"/>
                <w:szCs w:val="20"/>
                <w:color w:val="auto"/>
              </w:rPr>
            </w:pPr>
            <w:r>
              <w:rPr>
                <w:rFonts w:ascii="Arial" w:cs="Arial" w:eastAsia="Arial" w:hAnsi="Arial"/>
                <w:sz w:val="12"/>
                <w:szCs w:val="12"/>
                <w:color w:val="auto"/>
              </w:rPr>
              <w:t>Commodity derivatives-propane</w:t>
            </w:r>
          </w:p>
        </w:tc>
        <w:tc>
          <w:tcPr>
            <w:tcW w:w="1160" w:type="dxa"/>
            <w:vAlign w:val="bottom"/>
          </w:tcPr>
          <w:p>
            <w:pPr>
              <w:spacing w:after="0"/>
              <w:rPr>
                <w:sz w:val="12"/>
                <w:szCs w:val="12"/>
                <w:color w:val="auto"/>
              </w:rPr>
            </w:pPr>
          </w:p>
        </w:tc>
        <w:tc>
          <w:tcPr>
            <w:tcW w:w="2060" w:type="dxa"/>
            <w:vAlign w:val="bottom"/>
            <w:gridSpan w:val="3"/>
          </w:tcPr>
          <w:p>
            <w:pPr>
              <w:spacing w:after="0"/>
              <w:rPr>
                <w:sz w:val="20"/>
                <w:szCs w:val="20"/>
                <w:color w:val="auto"/>
              </w:rPr>
            </w:pPr>
            <w:r>
              <w:rPr>
                <w:rFonts w:ascii="Arial" w:cs="Arial" w:eastAsia="Arial" w:hAnsi="Arial"/>
                <w:sz w:val="12"/>
                <w:szCs w:val="12"/>
                <w:color w:val="auto"/>
                <w:w w:val="89"/>
              </w:rPr>
              <w:t>Prepaid expenses and other current assets</w:t>
            </w: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2,846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ind w:left="20"/>
              <w:spacing w:after="0"/>
              <w:rPr>
                <w:sz w:val="20"/>
                <w:szCs w:val="20"/>
                <w:color w:val="auto"/>
              </w:rPr>
            </w:pPr>
            <w:r>
              <w:rPr>
                <w:rFonts w:ascii="Arial" w:cs="Arial" w:eastAsia="Arial" w:hAnsi="Arial"/>
                <w:sz w:val="12"/>
                <w:szCs w:val="12"/>
                <w:color w:val="auto"/>
                <w:w w:val="98"/>
              </w:rPr>
              <w:t>Other current liabilities</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5,029</w:t>
            </w:r>
          </w:p>
        </w:tc>
      </w:tr>
      <w:tr>
        <w:trPr>
          <w:trHeight w:val="144"/>
        </w:trPr>
        <w:tc>
          <w:tcPr>
            <w:tcW w:w="2820" w:type="dxa"/>
            <w:vAlign w:val="bottom"/>
            <w:gridSpan w:val="4"/>
            <w:shd w:val="clear" w:color="auto" w:fill="CCEEFF"/>
          </w:tcPr>
          <w:p>
            <w:pPr>
              <w:ind w:left="80"/>
              <w:spacing w:after="0"/>
              <w:rPr>
                <w:sz w:val="20"/>
                <w:szCs w:val="20"/>
                <w:color w:val="auto"/>
              </w:rPr>
            </w:pPr>
            <w:r>
              <w:rPr>
                <w:rFonts w:ascii="Arial" w:cs="Arial" w:eastAsia="Arial" w:hAnsi="Arial"/>
                <w:sz w:val="12"/>
                <w:szCs w:val="12"/>
                <w:color w:val="auto"/>
              </w:rPr>
              <w:t>Commodity derivatives-propane</w:t>
            </w:r>
          </w:p>
        </w:tc>
        <w:tc>
          <w:tcPr>
            <w:tcW w:w="116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assets, net</w:t>
            </w:r>
          </w:p>
        </w:tc>
        <w:tc>
          <w:tcPr>
            <w:tcW w:w="1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w:t>
            </w:r>
          </w:p>
        </w:tc>
      </w:tr>
      <w:tr>
        <w:trPr>
          <w:trHeight w:val="140"/>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60" w:type="dxa"/>
            <w:vAlign w:val="bottom"/>
            <w:gridSpan w:val="3"/>
          </w:tcPr>
          <w:p>
            <w:pPr>
              <w:spacing w:after="0" w:line="133" w:lineRule="exact"/>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5,425</w:t>
            </w:r>
          </w:p>
        </w:tc>
      </w:tr>
    </w:tbl>
    <w:p>
      <w:pPr>
        <w:spacing w:after="0" w:line="135"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Ferrellgas, L.P.’s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L.P. for contracts that are in a positive mark-to-market position. The following tables provide a summary of cash margin balances as of April 30, 2021 and July 31, 2020, respectively: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0"/>
                <w:szCs w:val="10"/>
                <w:b w:val="1"/>
                <w:bCs w:val="1"/>
                <w:color w:val="auto"/>
                <w:w w:val="86"/>
              </w:rPr>
              <w:t>April 30, 2021</w:t>
            </w: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4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ind w:left="1640"/>
              <w:spacing w:after="0" w:line="88" w:lineRule="exact"/>
              <w:rPr>
                <w:sz w:val="20"/>
                <w:szCs w:val="20"/>
                <w:color w:val="auto"/>
              </w:rPr>
            </w:pPr>
            <w:r>
              <w:rPr>
                <w:rFonts w:ascii="Arial" w:cs="Arial" w:eastAsia="Arial" w:hAnsi="Arial"/>
                <w:sz w:val="10"/>
                <w:szCs w:val="10"/>
                <w:b w:val="1"/>
                <w:bCs w:val="1"/>
                <w:color w:val="auto"/>
              </w:rPr>
              <w:t>Assets</w:t>
            </w: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ind w:left="920"/>
              <w:spacing w:after="0" w:line="88" w:lineRule="exact"/>
              <w:rPr>
                <w:sz w:val="20"/>
                <w:szCs w:val="20"/>
                <w:color w:val="auto"/>
              </w:rPr>
            </w:pPr>
            <w:r>
              <w:rPr>
                <w:rFonts w:ascii="Arial" w:cs="Arial" w:eastAsia="Arial" w:hAnsi="Arial"/>
                <w:sz w:val="10"/>
                <w:szCs w:val="10"/>
                <w:b w:val="1"/>
                <w:bCs w:val="1"/>
                <w:color w:val="auto"/>
              </w:rPr>
              <w:t>Liabilities</w:t>
            </w: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ind w:left="116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jc w:val="right"/>
              <w:ind w:right="122"/>
              <w:spacing w:after="0" w:line="88"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ind w:left="52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ind w:left="20"/>
              <w:spacing w:after="0" w:line="88" w:lineRule="exact"/>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Margin Balances</w:t>
            </w:r>
          </w:p>
        </w:tc>
        <w:tc>
          <w:tcPr>
            <w:tcW w:w="140" w:type="dxa"/>
            <w:vAlign w:val="bottom"/>
            <w:shd w:val="clear" w:color="auto" w:fill="CCEEFF"/>
          </w:tcPr>
          <w:p>
            <w:pPr>
              <w:spacing w:after="0"/>
              <w:rPr>
                <w:sz w:val="11"/>
                <w:szCs w:val="11"/>
                <w:color w:val="auto"/>
              </w:rPr>
            </w:pPr>
          </w:p>
        </w:tc>
        <w:tc>
          <w:tcPr>
            <w:tcW w:w="300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Prepaid expense and other current assets</w:t>
            </w:r>
          </w:p>
        </w:tc>
        <w:tc>
          <w:tcPr>
            <w:tcW w:w="1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14,972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2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Other current liabilities</w:t>
            </w:r>
          </w:p>
        </w:tc>
        <w:tc>
          <w:tcPr>
            <w:tcW w:w="1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34,581</w:t>
            </w:r>
          </w:p>
        </w:tc>
        <w:tc>
          <w:tcPr>
            <w:tcW w:w="0" w:type="dxa"/>
            <w:vAlign w:val="bottom"/>
          </w:tcPr>
          <w:p>
            <w:pPr>
              <w:spacing w:after="0"/>
              <w:rPr>
                <w:sz w:val="1"/>
                <w:szCs w:val="1"/>
                <w:color w:val="auto"/>
              </w:rPr>
            </w:pPr>
          </w:p>
        </w:tc>
      </w:tr>
      <w:tr>
        <w:trPr>
          <w:trHeight w:val="144"/>
        </w:trPr>
        <w:tc>
          <w:tcPr>
            <w:tcW w:w="22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gridSpan w:val="4"/>
          </w:tcPr>
          <w:p>
            <w:pPr>
              <w:ind w:left="140"/>
              <w:spacing w:after="0"/>
              <w:rPr>
                <w:sz w:val="20"/>
                <w:szCs w:val="20"/>
                <w:color w:val="auto"/>
              </w:rPr>
            </w:pPr>
            <w:r>
              <w:rPr>
                <w:rFonts w:ascii="Arial" w:cs="Arial" w:eastAsia="Arial" w:hAnsi="Arial"/>
                <w:sz w:val="12"/>
                <w:szCs w:val="12"/>
                <w:color w:val="auto"/>
              </w:rPr>
              <w:t>Other assets, net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3,447</w:t>
            </w:r>
          </w:p>
        </w:tc>
        <w:tc>
          <w:tcPr>
            <w:tcW w:w="1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Other liabilities</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4,282</w:t>
            </w:r>
          </w:p>
        </w:tc>
        <w:tc>
          <w:tcPr>
            <w:tcW w:w="0" w:type="dxa"/>
            <w:vAlign w:val="bottom"/>
          </w:tcPr>
          <w:p>
            <w:pPr>
              <w:spacing w:after="0"/>
              <w:rPr>
                <w:sz w:val="1"/>
                <w:szCs w:val="1"/>
                <w:color w:val="auto"/>
              </w:rPr>
            </w:pPr>
          </w:p>
        </w:tc>
      </w:tr>
      <w:tr>
        <w:trPr>
          <w:trHeight w:val="140"/>
        </w:trPr>
        <w:tc>
          <w:tcPr>
            <w:tcW w:w="2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8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18,419</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38,863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0"/>
                <w:szCs w:val="10"/>
                <w:b w:val="1"/>
                <w:bCs w:val="1"/>
                <w:color w:val="auto"/>
              </w:rPr>
              <w:t>July 31, 2020</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24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40" w:type="dxa"/>
            <w:vAlign w:val="bottom"/>
            <w:tcBorders>
              <w:bottom w:val="single" w:sz="8" w:color="auto"/>
            </w:tcBorders>
          </w:tcPr>
          <w:p>
            <w:pPr>
              <w:jc w:val="center"/>
              <w:ind w:left="968"/>
              <w:spacing w:after="0" w:line="88" w:lineRule="exact"/>
              <w:rPr>
                <w:sz w:val="20"/>
                <w:szCs w:val="20"/>
                <w:color w:val="auto"/>
              </w:rPr>
            </w:pPr>
            <w:r>
              <w:rPr>
                <w:rFonts w:ascii="Arial" w:cs="Arial" w:eastAsia="Arial" w:hAnsi="Arial"/>
                <w:sz w:val="10"/>
                <w:szCs w:val="10"/>
                <w:b w:val="1"/>
                <w:bCs w:val="1"/>
                <w:color w:val="auto"/>
                <w:w w:val="79"/>
              </w:rPr>
              <w:t>Assets</w:t>
            </w: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Borders>
              <w:bottom w:val="single" w:sz="8" w:color="auto"/>
            </w:tcBorders>
          </w:tcPr>
          <w:p>
            <w:pPr>
              <w:ind w:left="1020"/>
              <w:spacing w:after="0" w:line="88" w:lineRule="exact"/>
              <w:rPr>
                <w:sz w:val="20"/>
                <w:szCs w:val="20"/>
                <w:color w:val="auto"/>
              </w:rPr>
            </w:pPr>
            <w:r>
              <w:rPr>
                <w:rFonts w:ascii="Arial" w:cs="Arial" w:eastAsia="Arial" w:hAnsi="Arial"/>
                <w:sz w:val="10"/>
                <w:szCs w:val="10"/>
                <w:b w:val="1"/>
                <w:bCs w:val="1"/>
                <w:color w:val="auto"/>
              </w:rPr>
              <w:t>Liabilities</w:t>
            </w: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840" w:type="dxa"/>
            <w:vAlign w:val="bottom"/>
            <w:tcBorders>
              <w:bottom w:val="single" w:sz="8" w:color="auto"/>
            </w:tcBorders>
          </w:tcPr>
          <w:p>
            <w:pPr>
              <w:ind w:left="132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560" w:type="dxa"/>
            <w:vAlign w:val="bottom"/>
            <w:tcBorders>
              <w:bottom w:val="single" w:sz="8" w:color="auto"/>
            </w:tcBorders>
          </w:tcPr>
          <w:p>
            <w:pPr>
              <w:ind w:left="700"/>
              <w:spacing w:after="0" w:line="88" w:lineRule="exact"/>
              <w:rPr>
                <w:sz w:val="20"/>
                <w:szCs w:val="20"/>
                <w:color w:val="auto"/>
              </w:rPr>
            </w:pPr>
            <w:r>
              <w:rPr>
                <w:rFonts w:ascii="Arial" w:cs="Arial" w:eastAsia="Arial" w:hAnsi="Arial"/>
                <w:sz w:val="10"/>
                <w:szCs w:val="10"/>
                <w:b w:val="1"/>
                <w:bCs w:val="1"/>
                <w:color w:val="auto"/>
              </w:rPr>
              <w:t>Location</w:t>
            </w: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Amount</w:t>
            </w:r>
          </w:p>
        </w:tc>
        <w:tc>
          <w:tcPr>
            <w:tcW w:w="0" w:type="dxa"/>
            <w:vAlign w:val="bottom"/>
          </w:tcPr>
          <w:p>
            <w:pPr>
              <w:spacing w:after="0"/>
              <w:rPr>
                <w:sz w:val="1"/>
                <w:szCs w:val="1"/>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Margin Balances</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Prepaid expense and other current assets</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14,398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Other current liabilities</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 net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1,433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15,831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455"/>
        </w:trPr>
        <w:tc>
          <w:tcPr>
            <w:tcW w:w="2240" w:type="dxa"/>
            <w:vAlign w:val="bottom"/>
          </w:tcPr>
          <w:p>
            <w:pPr>
              <w:spacing w:after="0"/>
              <w:rPr>
                <w:sz w:val="24"/>
                <w:szCs w:val="24"/>
                <w:color w:val="auto"/>
              </w:rPr>
            </w:pPr>
          </w:p>
        </w:tc>
        <w:tc>
          <w:tcPr>
            <w:tcW w:w="3140" w:type="dxa"/>
            <w:vAlign w:val="bottom"/>
            <w:gridSpan w:val="4"/>
          </w:tcPr>
          <w:p>
            <w:pPr>
              <w:jc w:val="right"/>
              <w:ind w:right="788"/>
              <w:spacing w:after="0"/>
              <w:rPr>
                <w:sz w:val="20"/>
                <w:szCs w:val="20"/>
                <w:color w:val="auto"/>
              </w:rPr>
            </w:pPr>
            <w:r>
              <w:rPr>
                <w:rFonts w:ascii="Arial" w:cs="Arial" w:eastAsia="Arial" w:hAnsi="Arial"/>
                <w:sz w:val="12"/>
                <w:szCs w:val="12"/>
                <w:color w:val="auto"/>
              </w:rPr>
              <w:t>59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59" w:name="page60"/>
    <w:bookmarkEnd w:id="5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tables provide a summary of the effect on Ferrellgas, L.P.’s condensed consolidated statements of comprehensive income (loss) for the three and nine months ended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30, 2021 and 2020 due to derivatives designated as cash flow hedging instruments: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7"/>
          </w:tcPr>
          <w:p>
            <w:pPr>
              <w:ind w:left="680"/>
              <w:spacing w:after="0"/>
              <w:rPr>
                <w:sz w:val="20"/>
                <w:szCs w:val="20"/>
                <w:color w:val="auto"/>
              </w:rPr>
            </w:pPr>
            <w:r>
              <w:rPr>
                <w:rFonts w:ascii="Arial" w:cs="Arial" w:eastAsia="Arial" w:hAnsi="Arial"/>
                <w:sz w:val="10"/>
                <w:szCs w:val="10"/>
                <w:b w:val="1"/>
                <w:bCs w:val="1"/>
                <w:color w:val="auto"/>
                <w:w w:val="90"/>
              </w:rPr>
              <w:t>For the three months ended April 30, 2021</w:t>
            </w: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7"/>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5"/>
              </w:rPr>
              <w:t>Location of Gain (Loss)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8"/>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Reclassified from</w:t>
            </w: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3"/>
          </w:tcPr>
          <w:p>
            <w:pPr>
              <w:jc w:val="center"/>
              <w:ind w:right="360"/>
              <w:spacing w:after="0" w:line="114" w:lineRule="exact"/>
              <w:rPr>
                <w:sz w:val="20"/>
                <w:szCs w:val="20"/>
                <w:color w:val="auto"/>
              </w:rPr>
            </w:pPr>
            <w:r>
              <w:rPr>
                <w:rFonts w:ascii="Arial" w:cs="Arial" w:eastAsia="Arial" w:hAnsi="Arial"/>
                <w:sz w:val="10"/>
                <w:szCs w:val="10"/>
                <w:b w:val="1"/>
                <w:bCs w:val="1"/>
                <w:color w:val="auto"/>
                <w:w w:val="87"/>
              </w:rPr>
              <w:t>Amount of Gain (Loss)</w:t>
            </w:r>
          </w:p>
        </w:tc>
        <w:tc>
          <w:tcPr>
            <w:tcW w:w="40" w:type="dxa"/>
            <w:vAlign w:val="bottom"/>
          </w:tcPr>
          <w:p>
            <w:pPr>
              <w:spacing w:after="0"/>
              <w:rPr>
                <w:sz w:val="9"/>
                <w:szCs w:val="9"/>
                <w:color w:val="auto"/>
              </w:rPr>
            </w:pPr>
          </w:p>
        </w:tc>
        <w:tc>
          <w:tcPr>
            <w:tcW w:w="218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8"/>
              </w:rPr>
              <w:t>Reclassified from AOCI</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8"/>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AOCI into Income</w:t>
            </w:r>
          </w:p>
        </w:tc>
        <w:tc>
          <w:tcPr>
            <w:tcW w:w="0" w:type="dxa"/>
            <w:vAlign w:val="bottom"/>
          </w:tcPr>
          <w:p>
            <w:pPr>
              <w:spacing w:after="0"/>
              <w:rPr>
                <w:sz w:val="1"/>
                <w:szCs w:val="1"/>
                <w:color w:val="auto"/>
              </w:rPr>
            </w:pPr>
          </w:p>
        </w:tc>
      </w:tr>
      <w:tr>
        <w:trPr>
          <w:trHeight w:val="88"/>
        </w:trPr>
        <w:tc>
          <w:tcPr>
            <w:tcW w:w="25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3"/>
          </w:tcPr>
          <w:p>
            <w:pPr>
              <w:jc w:val="center"/>
              <w:ind w:right="380"/>
              <w:spacing w:after="0" w:line="88" w:lineRule="exact"/>
              <w:rPr>
                <w:sz w:val="20"/>
                <w:szCs w:val="20"/>
                <w:color w:val="auto"/>
              </w:rPr>
            </w:pPr>
            <w:r>
              <w:rPr>
                <w:rFonts w:ascii="Arial" w:cs="Arial" w:eastAsia="Arial" w:hAnsi="Arial"/>
                <w:sz w:val="10"/>
                <w:szCs w:val="10"/>
                <w:b w:val="1"/>
                <w:bCs w:val="1"/>
                <w:color w:val="auto"/>
                <w:w w:val="87"/>
              </w:rPr>
              <w:t>Recognized in AOCI</w:t>
            </w:r>
          </w:p>
        </w:tc>
        <w:tc>
          <w:tcPr>
            <w:tcW w:w="40" w:type="dxa"/>
            <w:vAlign w:val="bottom"/>
          </w:tcPr>
          <w:p>
            <w:pPr>
              <w:spacing w:after="0"/>
              <w:rPr>
                <w:sz w:val="7"/>
                <w:szCs w:val="7"/>
                <w:color w:val="auto"/>
              </w:rPr>
            </w:pPr>
          </w:p>
        </w:tc>
        <w:tc>
          <w:tcPr>
            <w:tcW w:w="218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85"/>
              </w:rPr>
              <w:t>into Income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26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w w:val="94"/>
              </w:rPr>
              <w:t>Ineffective portion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20" w:type="dxa"/>
            <w:vAlign w:val="bottom"/>
            <w:tcBorders>
              <w:top w:val="single" w:sz="8" w:color="auto"/>
            </w:tcBorders>
            <w:gridSpan w:val="3"/>
            <w:shd w:val="clear" w:color="auto" w:fill="CCEEFF"/>
          </w:tcPr>
          <w:p>
            <w:pPr>
              <w:ind w:left="20"/>
              <w:spacing w:after="0" w:line="124" w:lineRule="exact"/>
              <w:rPr>
                <w:sz w:val="20"/>
                <w:szCs w:val="20"/>
                <w:color w:val="auto"/>
              </w:rPr>
            </w:pPr>
            <w:r>
              <w:rPr>
                <w:rFonts w:ascii="Arial" w:cs="Arial" w:eastAsia="Arial" w:hAnsi="Arial"/>
                <w:sz w:val="12"/>
                <w:szCs w:val="12"/>
                <w:color w:val="auto"/>
                <w:w w:val="92"/>
              </w:rPr>
              <w:t>Cost of product sold- propane and other gas</w:t>
            </w: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200" w:type="dxa"/>
            <w:vAlign w:val="bottom"/>
            <w:gridSpan w:val="2"/>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liquids sales</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22,383</w:t>
            </w:r>
          </w:p>
        </w:tc>
        <w:tc>
          <w:tcPr>
            <w:tcW w:w="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20,446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22,383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ind w:left="720"/>
              <w:spacing w:after="0"/>
              <w:rPr>
                <w:sz w:val="20"/>
                <w:szCs w:val="20"/>
                <w:color w:val="auto"/>
              </w:rPr>
            </w:pPr>
            <w:r>
              <w:rPr>
                <w:rFonts w:ascii="Arial" w:cs="Arial" w:eastAsia="Arial" w:hAnsi="Arial"/>
                <w:sz w:val="10"/>
                <w:szCs w:val="10"/>
                <w:b w:val="1"/>
                <w:bCs w:val="1"/>
                <w:color w:val="auto"/>
                <w:w w:val="88"/>
              </w:rPr>
              <w:t>For the three months ended April 30, 2020</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7"/>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2"/>
          </w:tcPr>
          <w:p>
            <w:pPr>
              <w:jc w:val="center"/>
              <w:ind w:left="9"/>
              <w:spacing w:after="0" w:line="99" w:lineRule="exact"/>
              <w:rPr>
                <w:sz w:val="20"/>
                <w:szCs w:val="20"/>
                <w:color w:val="auto"/>
              </w:rPr>
            </w:pPr>
            <w:r>
              <w:rPr>
                <w:rFonts w:ascii="Arial" w:cs="Arial" w:eastAsia="Arial" w:hAnsi="Arial"/>
                <w:sz w:val="10"/>
                <w:szCs w:val="10"/>
                <w:b w:val="1"/>
                <w:bCs w:val="1"/>
                <w:color w:val="auto"/>
                <w:w w:val="85"/>
              </w:rPr>
              <w:t>Location of Gain (Loss)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8"/>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Reclassified from</w:t>
            </w: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Amount of Gain (Loss)</w:t>
            </w:r>
          </w:p>
        </w:tc>
        <w:tc>
          <w:tcPr>
            <w:tcW w:w="40" w:type="dxa"/>
            <w:vAlign w:val="bottom"/>
          </w:tcPr>
          <w:p>
            <w:pPr>
              <w:spacing w:after="0"/>
              <w:rPr>
                <w:sz w:val="9"/>
                <w:szCs w:val="9"/>
                <w:color w:val="auto"/>
              </w:rPr>
            </w:pPr>
          </w:p>
        </w:tc>
        <w:tc>
          <w:tcPr>
            <w:tcW w:w="2180" w:type="dxa"/>
            <w:vAlign w:val="bottom"/>
            <w:gridSpan w:val="2"/>
          </w:tcPr>
          <w:p>
            <w:pPr>
              <w:jc w:val="center"/>
              <w:ind w:left="9"/>
              <w:spacing w:after="0" w:line="114" w:lineRule="exact"/>
              <w:rPr>
                <w:sz w:val="20"/>
                <w:szCs w:val="20"/>
                <w:color w:val="auto"/>
              </w:rPr>
            </w:pPr>
            <w:r>
              <w:rPr>
                <w:rFonts w:ascii="Arial" w:cs="Arial" w:eastAsia="Arial" w:hAnsi="Arial"/>
                <w:sz w:val="10"/>
                <w:szCs w:val="10"/>
                <w:b w:val="1"/>
                <w:bCs w:val="1"/>
                <w:color w:val="auto"/>
                <w:w w:val="86"/>
              </w:rPr>
              <w:t>Reclassified from AOCI</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8"/>
          </w:tcPr>
          <w:p>
            <w:pPr>
              <w:jc w:val="center"/>
              <w:ind w:right="140"/>
              <w:spacing w:after="0" w:line="114" w:lineRule="exact"/>
              <w:rPr>
                <w:sz w:val="20"/>
                <w:szCs w:val="20"/>
                <w:color w:val="auto"/>
              </w:rPr>
            </w:pPr>
            <w:r>
              <w:rPr>
                <w:rFonts w:ascii="Arial" w:cs="Arial" w:eastAsia="Arial" w:hAnsi="Arial"/>
                <w:sz w:val="10"/>
                <w:szCs w:val="10"/>
                <w:b w:val="1"/>
                <w:bCs w:val="1"/>
                <w:color w:val="auto"/>
                <w:w w:val="90"/>
              </w:rPr>
              <w:t>AOCI into Income</w:t>
            </w:r>
          </w:p>
        </w:tc>
        <w:tc>
          <w:tcPr>
            <w:tcW w:w="0" w:type="dxa"/>
            <w:vAlign w:val="bottom"/>
          </w:tcPr>
          <w:p>
            <w:pPr>
              <w:spacing w:after="0"/>
              <w:rPr>
                <w:sz w:val="1"/>
                <w:szCs w:val="1"/>
                <w:color w:val="auto"/>
              </w:rPr>
            </w:pPr>
          </w:p>
        </w:tc>
      </w:tr>
      <w:tr>
        <w:trPr>
          <w:trHeight w:val="88"/>
        </w:trPr>
        <w:tc>
          <w:tcPr>
            <w:tcW w:w="25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w w:val="89"/>
              </w:rPr>
              <w:t>Recognized in AOCI</w:t>
            </w:r>
          </w:p>
        </w:tc>
        <w:tc>
          <w:tcPr>
            <w:tcW w:w="40" w:type="dxa"/>
            <w:vAlign w:val="bottom"/>
          </w:tcPr>
          <w:p>
            <w:pPr>
              <w:spacing w:after="0"/>
              <w:rPr>
                <w:sz w:val="7"/>
                <w:szCs w:val="7"/>
                <w:color w:val="auto"/>
              </w:rPr>
            </w:pPr>
          </w:p>
        </w:tc>
        <w:tc>
          <w:tcPr>
            <w:tcW w:w="2180" w:type="dxa"/>
            <w:vAlign w:val="bottom"/>
            <w:gridSpan w:val="2"/>
          </w:tcPr>
          <w:p>
            <w:pPr>
              <w:jc w:val="center"/>
              <w:ind w:left="9"/>
              <w:spacing w:after="0" w:line="88" w:lineRule="exact"/>
              <w:rPr>
                <w:sz w:val="20"/>
                <w:szCs w:val="20"/>
                <w:color w:val="auto"/>
              </w:rPr>
            </w:pPr>
            <w:r>
              <w:rPr>
                <w:rFonts w:ascii="Arial" w:cs="Arial" w:eastAsia="Arial" w:hAnsi="Arial"/>
                <w:sz w:val="10"/>
                <w:szCs w:val="10"/>
                <w:b w:val="1"/>
                <w:bCs w:val="1"/>
                <w:color w:val="auto"/>
                <w:w w:val="85"/>
              </w:rPr>
              <w:t>into Income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26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w w:val="94"/>
              </w:rPr>
              <w:t>Ineffective portion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Commodity derivatives</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w w:val="91"/>
              </w:rPr>
              <w:t>Cost of product sold- propane and other gas</w:t>
            </w: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(11,501)</w:t>
            </w:r>
          </w:p>
        </w:tc>
        <w:tc>
          <w:tcPr>
            <w:tcW w:w="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liquids sales</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(14,073)</w:t>
            </w:r>
          </w:p>
        </w:tc>
        <w:tc>
          <w:tcPr>
            <w:tcW w:w="2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(11,501)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(14,073)</w:t>
            </w: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ind w:left="740"/>
              <w:spacing w:after="0"/>
              <w:rPr>
                <w:sz w:val="20"/>
                <w:szCs w:val="20"/>
                <w:color w:val="auto"/>
              </w:rPr>
            </w:pPr>
            <w:r>
              <w:rPr>
                <w:rFonts w:ascii="Arial" w:cs="Arial" w:eastAsia="Arial" w:hAnsi="Arial"/>
                <w:sz w:val="10"/>
                <w:szCs w:val="10"/>
                <w:b w:val="1"/>
                <w:bCs w:val="1"/>
                <w:color w:val="auto"/>
                <w:w w:val="88"/>
              </w:rPr>
              <w:t>For the nine months ended April 30, 2021</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7"/>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2"/>
          </w:tcPr>
          <w:p>
            <w:pPr>
              <w:jc w:val="center"/>
              <w:ind w:left="9"/>
              <w:spacing w:after="0" w:line="99" w:lineRule="exact"/>
              <w:rPr>
                <w:sz w:val="20"/>
                <w:szCs w:val="20"/>
                <w:color w:val="auto"/>
              </w:rPr>
            </w:pPr>
            <w:r>
              <w:rPr>
                <w:rFonts w:ascii="Arial" w:cs="Arial" w:eastAsia="Arial" w:hAnsi="Arial"/>
                <w:sz w:val="10"/>
                <w:szCs w:val="10"/>
                <w:b w:val="1"/>
                <w:bCs w:val="1"/>
                <w:color w:val="auto"/>
                <w:w w:val="85"/>
              </w:rPr>
              <w:t>Location of Gain (Loss)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8"/>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Reclassified from</w:t>
            </w: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Amount of Gain (Loss)</w:t>
            </w:r>
          </w:p>
        </w:tc>
        <w:tc>
          <w:tcPr>
            <w:tcW w:w="40" w:type="dxa"/>
            <w:vAlign w:val="bottom"/>
          </w:tcPr>
          <w:p>
            <w:pPr>
              <w:spacing w:after="0"/>
              <w:rPr>
                <w:sz w:val="9"/>
                <w:szCs w:val="9"/>
                <w:color w:val="auto"/>
              </w:rPr>
            </w:pPr>
          </w:p>
        </w:tc>
        <w:tc>
          <w:tcPr>
            <w:tcW w:w="2180" w:type="dxa"/>
            <w:vAlign w:val="bottom"/>
            <w:gridSpan w:val="2"/>
          </w:tcPr>
          <w:p>
            <w:pPr>
              <w:jc w:val="center"/>
              <w:ind w:left="9"/>
              <w:spacing w:after="0" w:line="114" w:lineRule="exact"/>
              <w:rPr>
                <w:sz w:val="20"/>
                <w:szCs w:val="20"/>
                <w:color w:val="auto"/>
              </w:rPr>
            </w:pPr>
            <w:r>
              <w:rPr>
                <w:rFonts w:ascii="Arial" w:cs="Arial" w:eastAsia="Arial" w:hAnsi="Arial"/>
                <w:sz w:val="10"/>
                <w:szCs w:val="10"/>
                <w:b w:val="1"/>
                <w:bCs w:val="1"/>
                <w:color w:val="auto"/>
                <w:w w:val="86"/>
              </w:rPr>
              <w:t>Reclassified from AOCI</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8"/>
          </w:tcPr>
          <w:p>
            <w:pPr>
              <w:jc w:val="center"/>
              <w:ind w:right="140"/>
              <w:spacing w:after="0" w:line="114" w:lineRule="exact"/>
              <w:rPr>
                <w:sz w:val="20"/>
                <w:szCs w:val="20"/>
                <w:color w:val="auto"/>
              </w:rPr>
            </w:pPr>
            <w:r>
              <w:rPr>
                <w:rFonts w:ascii="Arial" w:cs="Arial" w:eastAsia="Arial" w:hAnsi="Arial"/>
                <w:sz w:val="10"/>
                <w:szCs w:val="10"/>
                <w:b w:val="1"/>
                <w:bCs w:val="1"/>
                <w:color w:val="auto"/>
                <w:w w:val="90"/>
              </w:rPr>
              <w:t>AOCI into Income</w:t>
            </w:r>
          </w:p>
        </w:tc>
        <w:tc>
          <w:tcPr>
            <w:tcW w:w="0" w:type="dxa"/>
            <w:vAlign w:val="bottom"/>
          </w:tcPr>
          <w:p>
            <w:pPr>
              <w:spacing w:after="0"/>
              <w:rPr>
                <w:sz w:val="1"/>
                <w:szCs w:val="1"/>
                <w:color w:val="auto"/>
              </w:rPr>
            </w:pPr>
          </w:p>
        </w:tc>
      </w:tr>
      <w:tr>
        <w:trPr>
          <w:trHeight w:val="88"/>
        </w:trPr>
        <w:tc>
          <w:tcPr>
            <w:tcW w:w="25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w w:val="89"/>
              </w:rPr>
              <w:t>Recognized in AOCI</w:t>
            </w:r>
          </w:p>
        </w:tc>
        <w:tc>
          <w:tcPr>
            <w:tcW w:w="40" w:type="dxa"/>
            <w:vAlign w:val="bottom"/>
          </w:tcPr>
          <w:p>
            <w:pPr>
              <w:spacing w:after="0"/>
              <w:rPr>
                <w:sz w:val="7"/>
                <w:szCs w:val="7"/>
                <w:color w:val="auto"/>
              </w:rPr>
            </w:pPr>
          </w:p>
        </w:tc>
        <w:tc>
          <w:tcPr>
            <w:tcW w:w="2180" w:type="dxa"/>
            <w:vAlign w:val="bottom"/>
            <w:gridSpan w:val="2"/>
          </w:tcPr>
          <w:p>
            <w:pPr>
              <w:jc w:val="center"/>
              <w:ind w:left="9"/>
              <w:spacing w:after="0" w:line="88" w:lineRule="exact"/>
              <w:rPr>
                <w:sz w:val="20"/>
                <w:szCs w:val="20"/>
                <w:color w:val="auto"/>
              </w:rPr>
            </w:pPr>
            <w:r>
              <w:rPr>
                <w:rFonts w:ascii="Arial" w:cs="Arial" w:eastAsia="Arial" w:hAnsi="Arial"/>
                <w:sz w:val="10"/>
                <w:szCs w:val="10"/>
                <w:b w:val="1"/>
                <w:bCs w:val="1"/>
                <w:color w:val="auto"/>
                <w:w w:val="85"/>
              </w:rPr>
              <w:t>into Income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26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w w:val="94"/>
              </w:rPr>
              <w:t>Ineffective portion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w w:val="93"/>
              </w:rPr>
              <w:t>Cost of sales-propane and other gas liquids</w:t>
            </w: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63,170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28,674</w:t>
            </w:r>
          </w:p>
        </w:tc>
        <w:tc>
          <w:tcPr>
            <w:tcW w:w="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63,170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28,674</w:t>
            </w: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ind w:left="740"/>
              <w:spacing w:after="0"/>
              <w:rPr>
                <w:sz w:val="20"/>
                <w:szCs w:val="20"/>
                <w:color w:val="auto"/>
              </w:rPr>
            </w:pPr>
            <w:r>
              <w:rPr>
                <w:rFonts w:ascii="Arial" w:cs="Arial" w:eastAsia="Arial" w:hAnsi="Arial"/>
                <w:sz w:val="10"/>
                <w:szCs w:val="10"/>
                <w:b w:val="1"/>
                <w:bCs w:val="1"/>
                <w:color w:val="auto"/>
                <w:w w:val="88"/>
              </w:rPr>
              <w:t>For the nine months ended April 30, 2020</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gridSpan w:val="7"/>
          </w:tcPr>
          <w:p>
            <w:pPr>
              <w:jc w:val="center"/>
              <w:ind w:right="64"/>
              <w:spacing w:after="0" w:line="74" w:lineRule="exact"/>
              <w:rPr>
                <w:sz w:val="20"/>
                <w:szCs w:val="20"/>
                <w:color w:val="auto"/>
              </w:rPr>
            </w:pPr>
            <w:r>
              <w:rPr>
                <w:rFonts w:ascii="Arial" w:cs="Arial" w:eastAsia="Arial" w:hAnsi="Arial"/>
                <w:sz w:val="8"/>
                <w:szCs w:val="8"/>
                <w:b w:val="1"/>
                <w:bCs w:val="1"/>
                <w:color w:val="auto"/>
              </w:rPr>
              <w:t>Amount of Gain (Loss)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2"/>
          </w:tcPr>
          <w:p>
            <w:pPr>
              <w:jc w:val="center"/>
              <w:ind w:left="9"/>
              <w:spacing w:after="0" w:line="99" w:lineRule="exact"/>
              <w:rPr>
                <w:sz w:val="20"/>
                <w:szCs w:val="20"/>
                <w:color w:val="auto"/>
              </w:rPr>
            </w:pPr>
            <w:r>
              <w:rPr>
                <w:rFonts w:ascii="Arial" w:cs="Arial" w:eastAsia="Arial" w:hAnsi="Arial"/>
                <w:sz w:val="10"/>
                <w:szCs w:val="10"/>
                <w:b w:val="1"/>
                <w:bCs w:val="1"/>
                <w:color w:val="auto"/>
                <w:w w:val="85"/>
              </w:rPr>
              <w:t>Location of Gain (Loss)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8"/>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Reclassified from</w:t>
            </w: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Amount of Gain (Loss)</w:t>
            </w:r>
          </w:p>
        </w:tc>
        <w:tc>
          <w:tcPr>
            <w:tcW w:w="40" w:type="dxa"/>
            <w:vAlign w:val="bottom"/>
          </w:tcPr>
          <w:p>
            <w:pPr>
              <w:spacing w:after="0"/>
              <w:rPr>
                <w:sz w:val="9"/>
                <w:szCs w:val="9"/>
                <w:color w:val="auto"/>
              </w:rPr>
            </w:pPr>
          </w:p>
        </w:tc>
        <w:tc>
          <w:tcPr>
            <w:tcW w:w="2180" w:type="dxa"/>
            <w:vAlign w:val="bottom"/>
            <w:gridSpan w:val="2"/>
          </w:tcPr>
          <w:p>
            <w:pPr>
              <w:jc w:val="center"/>
              <w:ind w:left="9"/>
              <w:spacing w:after="0" w:line="114" w:lineRule="exact"/>
              <w:rPr>
                <w:sz w:val="20"/>
                <w:szCs w:val="20"/>
                <w:color w:val="auto"/>
              </w:rPr>
            </w:pPr>
            <w:r>
              <w:rPr>
                <w:rFonts w:ascii="Arial" w:cs="Arial" w:eastAsia="Arial" w:hAnsi="Arial"/>
                <w:sz w:val="10"/>
                <w:szCs w:val="10"/>
                <w:b w:val="1"/>
                <w:bCs w:val="1"/>
                <w:color w:val="auto"/>
                <w:w w:val="86"/>
              </w:rPr>
              <w:t>Reclassified from AOCI</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8"/>
          </w:tcPr>
          <w:p>
            <w:pPr>
              <w:jc w:val="center"/>
              <w:ind w:right="140"/>
              <w:spacing w:after="0" w:line="114" w:lineRule="exact"/>
              <w:rPr>
                <w:sz w:val="20"/>
                <w:szCs w:val="20"/>
                <w:color w:val="auto"/>
              </w:rPr>
            </w:pPr>
            <w:r>
              <w:rPr>
                <w:rFonts w:ascii="Arial" w:cs="Arial" w:eastAsia="Arial" w:hAnsi="Arial"/>
                <w:sz w:val="10"/>
                <w:szCs w:val="10"/>
                <w:b w:val="1"/>
                <w:bCs w:val="1"/>
                <w:color w:val="auto"/>
                <w:w w:val="90"/>
              </w:rPr>
              <w:t>AOCI into Income</w:t>
            </w:r>
          </w:p>
        </w:tc>
        <w:tc>
          <w:tcPr>
            <w:tcW w:w="0" w:type="dxa"/>
            <w:vAlign w:val="bottom"/>
          </w:tcPr>
          <w:p>
            <w:pPr>
              <w:spacing w:after="0"/>
              <w:rPr>
                <w:sz w:val="1"/>
                <w:szCs w:val="1"/>
                <w:color w:val="auto"/>
              </w:rPr>
            </w:pPr>
          </w:p>
        </w:tc>
      </w:tr>
      <w:tr>
        <w:trPr>
          <w:trHeight w:val="88"/>
        </w:trPr>
        <w:tc>
          <w:tcPr>
            <w:tcW w:w="25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Derivative Instrument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w w:val="89"/>
              </w:rPr>
              <w:t>Recognized in AOCI</w:t>
            </w:r>
          </w:p>
        </w:tc>
        <w:tc>
          <w:tcPr>
            <w:tcW w:w="40" w:type="dxa"/>
            <w:vAlign w:val="bottom"/>
          </w:tcPr>
          <w:p>
            <w:pPr>
              <w:spacing w:after="0"/>
              <w:rPr>
                <w:sz w:val="7"/>
                <w:szCs w:val="7"/>
                <w:color w:val="auto"/>
              </w:rPr>
            </w:pPr>
          </w:p>
        </w:tc>
        <w:tc>
          <w:tcPr>
            <w:tcW w:w="2180" w:type="dxa"/>
            <w:vAlign w:val="bottom"/>
            <w:gridSpan w:val="2"/>
          </w:tcPr>
          <w:p>
            <w:pPr>
              <w:jc w:val="center"/>
              <w:ind w:left="9"/>
              <w:spacing w:after="0" w:line="88" w:lineRule="exact"/>
              <w:rPr>
                <w:sz w:val="20"/>
                <w:szCs w:val="20"/>
                <w:color w:val="auto"/>
              </w:rPr>
            </w:pPr>
            <w:r>
              <w:rPr>
                <w:rFonts w:ascii="Arial" w:cs="Arial" w:eastAsia="Arial" w:hAnsi="Arial"/>
                <w:sz w:val="10"/>
                <w:szCs w:val="10"/>
                <w:b w:val="1"/>
                <w:bCs w:val="1"/>
                <w:color w:val="auto"/>
                <w:w w:val="85"/>
              </w:rPr>
              <w:t>into Income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260"/>
              <w:spacing w:after="0" w:line="88" w:lineRule="exact"/>
              <w:rPr>
                <w:sz w:val="20"/>
                <w:szCs w:val="20"/>
                <w:color w:val="auto"/>
              </w:rPr>
            </w:pPr>
            <w:r>
              <w:rPr>
                <w:rFonts w:ascii="Arial" w:cs="Arial" w:eastAsia="Arial" w:hAnsi="Arial"/>
                <w:sz w:val="10"/>
                <w:szCs w:val="10"/>
                <w:b w:val="1"/>
                <w:bCs w:val="1"/>
                <w:color w:val="auto"/>
                <w:w w:val="93"/>
              </w:rPr>
              <w:t>Effective portion</w:t>
            </w: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w w:val="94"/>
              </w:rPr>
              <w:t>Ineffective portion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w w:val="93"/>
              </w:rPr>
              <w:t>Cost of sales-propane and other gas liquids</w:t>
            </w: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Commodity derivatives</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(36,340)</w:t>
            </w:r>
          </w:p>
        </w:tc>
        <w:tc>
          <w:tcPr>
            <w:tcW w:w="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(30,318)</w:t>
            </w:r>
          </w:p>
        </w:tc>
        <w:tc>
          <w:tcPr>
            <w:tcW w:w="2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(36,340)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(30,318)</w:t>
            </w: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380" w:type="dxa"/>
            <w:vAlign w:val="bottom"/>
            <w:gridSpan w:val="11"/>
          </w:tcPr>
          <w:p>
            <w:pPr>
              <w:spacing w:after="0"/>
              <w:rPr>
                <w:sz w:val="20"/>
                <w:szCs w:val="20"/>
                <w:color w:val="auto"/>
              </w:rPr>
            </w:pPr>
            <w:r>
              <w:rPr>
                <w:rFonts w:ascii="Arial" w:cs="Arial" w:eastAsia="Arial" w:hAnsi="Arial"/>
                <w:sz w:val="12"/>
                <w:szCs w:val="12"/>
                <w:color w:val="auto"/>
              </w:rPr>
              <w:t>The changes in derivatives included in AOCI for the nine months ended April 30, 2021 and 2020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5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Gains and losses on derivatives included in AOCI</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8"/>
          </w:tcPr>
          <w:p>
            <w:pPr>
              <w:ind w:left="220"/>
              <w:spacing w:after="0"/>
              <w:rPr>
                <w:sz w:val="20"/>
                <w:szCs w:val="20"/>
                <w:color w:val="auto"/>
              </w:rPr>
            </w:pPr>
            <w:r>
              <w:rPr>
                <w:rFonts w:ascii="Arial" w:cs="Arial" w:eastAsia="Arial" w:hAnsi="Arial"/>
                <w:sz w:val="10"/>
                <w:szCs w:val="10"/>
                <w:b w:val="1"/>
                <w:bCs w:val="1"/>
                <w:color w:val="auto"/>
              </w:rPr>
              <w:t>For the nine months ended April 30,</w:t>
            </w:r>
          </w:p>
        </w:tc>
        <w:tc>
          <w:tcPr>
            <w:tcW w:w="0" w:type="dxa"/>
            <w:vAlign w:val="bottom"/>
          </w:tcPr>
          <w:p>
            <w:pPr>
              <w:spacing w:after="0"/>
              <w:rPr>
                <w:sz w:val="1"/>
                <w:szCs w:val="1"/>
                <w:color w:val="auto"/>
              </w:rPr>
            </w:pPr>
          </w:p>
        </w:tc>
      </w:tr>
      <w:tr>
        <w:trPr>
          <w:trHeight w:val="88"/>
        </w:trPr>
        <w:tc>
          <w:tcPr>
            <w:tcW w:w="254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840" w:type="dxa"/>
            <w:vAlign w:val="bottom"/>
            <w:tcBorders>
              <w:top w:val="single" w:sz="8" w:color="auto"/>
              <w:bottom w:val="single" w:sz="8" w:color="auto"/>
            </w:tcBorders>
          </w:tcPr>
          <w:p>
            <w:pPr>
              <w:jc w:val="right"/>
              <w:ind w:right="428"/>
              <w:spacing w:after="0" w:line="88" w:lineRule="exact"/>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jc w:val="right"/>
              <w:ind w:right="46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Beginning balance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(2,313)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(14,756)</w:t>
            </w:r>
          </w:p>
        </w:tc>
        <w:tc>
          <w:tcPr>
            <w:tcW w:w="4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60" w:type="dxa"/>
            <w:vAlign w:val="bottom"/>
            <w:gridSpan w:val="8"/>
          </w:tcPr>
          <w:p>
            <w:pPr>
              <w:ind w:left="80"/>
              <w:spacing w:after="0"/>
              <w:rPr>
                <w:sz w:val="20"/>
                <w:szCs w:val="20"/>
                <w:color w:val="auto"/>
              </w:rPr>
            </w:pPr>
            <w:r>
              <w:rPr>
                <w:rFonts w:ascii="Arial" w:cs="Arial" w:eastAsia="Arial" w:hAnsi="Arial"/>
                <w:sz w:val="12"/>
                <w:szCs w:val="12"/>
                <w:color w:val="auto"/>
              </w:rPr>
              <w:t>Change in value of risk management commodity derivatives</w:t>
            </w: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63,170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(36,340)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80" w:type="dxa"/>
            <w:vAlign w:val="bottom"/>
            <w:gridSpan w:val="11"/>
            <w:shd w:val="clear" w:color="auto" w:fill="CCEEFF"/>
          </w:tcPr>
          <w:p>
            <w:pPr>
              <w:ind w:left="80"/>
              <w:spacing w:after="0"/>
              <w:rPr>
                <w:sz w:val="20"/>
                <w:szCs w:val="20"/>
                <w:color w:val="auto"/>
              </w:rPr>
            </w:pPr>
            <w:r>
              <w:rPr>
                <w:rFonts w:ascii="Arial" w:cs="Arial" w:eastAsia="Arial" w:hAnsi="Arial"/>
                <w:sz w:val="12"/>
                <w:szCs w:val="12"/>
                <w:color w:val="auto"/>
              </w:rPr>
              <w:t>Reclassification of (gains) losses on commodity hedges to cost of sales - propane and other gas liquids sales, net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30,318</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gridSpan w:val="3"/>
          </w:tcPr>
          <w:p>
            <w:pPr>
              <w:spacing w:after="0" w:line="133" w:lineRule="exact"/>
              <w:rPr>
                <w:sz w:val="20"/>
                <w:szCs w:val="20"/>
                <w:color w:val="auto"/>
              </w:rPr>
            </w:pPr>
            <w:r>
              <w:rPr>
                <w:rFonts w:ascii="Arial" w:cs="Arial" w:eastAsia="Arial" w:hAnsi="Arial"/>
                <w:sz w:val="12"/>
                <w:szCs w:val="12"/>
                <w:color w:val="auto"/>
              </w:rPr>
              <w:t>Ending balance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32,183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(20,778)</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Ferrellgas, L.P. expects to reclassify net gains of approximately $28.8 million to earnings during the next 12 months. These net gains are expected to be offset by decreased margins on propane sales commitments Ferrellgas, L.P. has with its customers that qualify for the normal purchase normal sale exception.</w:t>
      </w:r>
    </w:p>
    <w:p>
      <w:pPr>
        <w:spacing w:after="0" w:line="115" w:lineRule="exact"/>
        <w:rPr>
          <w:sz w:val="20"/>
          <w:szCs w:val="20"/>
          <w:color w:val="auto"/>
        </w:rPr>
      </w:pPr>
    </w:p>
    <w:p>
      <w:pPr>
        <w:ind w:left="20" w:right="119"/>
        <w:spacing w:after="0" w:line="323" w:lineRule="auto"/>
        <w:rPr>
          <w:sz w:val="20"/>
          <w:szCs w:val="20"/>
          <w:color w:val="auto"/>
        </w:rPr>
      </w:pPr>
      <w:r>
        <w:rPr>
          <w:rFonts w:ascii="Arial" w:cs="Arial" w:eastAsia="Arial" w:hAnsi="Arial"/>
          <w:sz w:val="11"/>
          <w:szCs w:val="11"/>
          <w:color w:val="auto"/>
        </w:rPr>
        <w:t>During the nine months ended April 30, 2021 and 2020, Ferrellgas, L.P.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pacing w:after="0" w:line="92" w:lineRule="exact"/>
        <w:rPr>
          <w:sz w:val="20"/>
          <w:szCs w:val="20"/>
          <w:color w:val="auto"/>
        </w:rPr>
      </w:pPr>
    </w:p>
    <w:p>
      <w:pPr>
        <w:ind w:left="20" w:right="359"/>
        <w:spacing w:after="0" w:line="276" w:lineRule="auto"/>
        <w:rPr>
          <w:sz w:val="20"/>
          <w:szCs w:val="20"/>
          <w:color w:val="auto"/>
        </w:rPr>
      </w:pPr>
      <w:r>
        <w:rPr>
          <w:rFonts w:ascii="Arial" w:cs="Arial" w:eastAsia="Arial" w:hAnsi="Arial"/>
          <w:sz w:val="12"/>
          <w:szCs w:val="12"/>
          <w:color w:val="auto"/>
        </w:rPr>
        <w:t>As of April 30, 2021, Ferrellgas, L.P. had financial derivative contracts covering 5.3 million barrels of propane that were entered into as cash flow hedges of forward and forecasted purchases of propane.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0" w:name="page61"/>
    <w:bookmarkEnd w:id="6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Derivative financial instruments credit risk</w:t>
      </w:r>
    </w:p>
    <w:p>
      <w:pPr>
        <w:spacing w:after="0" w:line="150" w:lineRule="exact"/>
        <w:rPr>
          <w:sz w:val="20"/>
          <w:szCs w:val="20"/>
          <w:color w:val="auto"/>
        </w:rPr>
      </w:pPr>
    </w:p>
    <w:p>
      <w:pPr>
        <w:jc w:val="both"/>
        <w:ind w:left="20" w:right="119"/>
        <w:spacing w:after="0" w:line="305" w:lineRule="auto"/>
        <w:rPr>
          <w:sz w:val="20"/>
          <w:szCs w:val="20"/>
          <w:color w:val="auto"/>
        </w:rPr>
      </w:pPr>
      <w:r>
        <w:rPr>
          <w:rFonts w:ascii="Arial" w:cs="Arial" w:eastAsia="Arial" w:hAnsi="Arial"/>
          <w:sz w:val="10"/>
          <w:szCs w:val="10"/>
          <w:color w:val="auto"/>
        </w:rPr>
        <w:t>Ferrellgas, L.P. is exposed to credit loss in the event of nonperformance by counterparties to derivative financial and commodity instruments. Ferrellgas, L.P.’s counterparties principally consist of major energy companies and major U.S. financial institutions. Ferrellgas, L.P.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L.P. in the forms of letters of credit, parental guarantees or cash.</w:t>
      </w:r>
    </w:p>
    <w:p>
      <w:pPr>
        <w:ind w:left="20" w:right="99"/>
        <w:spacing w:after="0" w:line="255" w:lineRule="auto"/>
        <w:rPr>
          <w:sz w:val="20"/>
          <w:szCs w:val="20"/>
          <w:color w:val="auto"/>
        </w:rPr>
      </w:pPr>
      <w:r>
        <w:rPr>
          <w:rFonts w:ascii="Arial" w:cs="Arial" w:eastAsia="Arial" w:hAnsi="Arial"/>
          <w:sz w:val="12"/>
          <w:szCs w:val="12"/>
          <w:color w:val="auto"/>
        </w:rPr>
        <w:t>Ferrellgas, L.P. has concentrations of credit risk associated with derivative financial instruments held by certain derivative financial instrument counterparties. If these counterparties that make up the concentration failed to perform according to the terms of their contracts at April 30, 2021, the maximum amount of loss due to credit risk that Ferrellgas, L.P. would incur based upon the gross fair values of the derivative financial instruments is zero.</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From time to time Ferrellgas, L.P. enters into derivative contracts that have credit-risk-related contingent features which dictate credit limits based upon Ferrellgas, L.P.’s debt rating.</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There were no open derivative contracts with credit-risk-related contingent features as of April 30, 2021.</w:t>
      </w:r>
    </w:p>
    <w:p>
      <w:pPr>
        <w:spacing w:after="0" w:line="137" w:lineRule="exact"/>
        <w:rPr>
          <w:sz w:val="20"/>
          <w:szCs w:val="20"/>
          <w:color w:val="auto"/>
        </w:rPr>
      </w:pPr>
    </w:p>
    <w:p>
      <w:pPr>
        <w:ind w:left="260" w:hanging="238"/>
        <w:spacing w:after="0"/>
        <w:tabs>
          <w:tab w:leader="none" w:pos="260"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Transactions with related parties</w:t>
      </w:r>
    </w:p>
    <w:p>
      <w:pPr>
        <w:spacing w:after="0" w:line="154" w:lineRule="exact"/>
        <w:rPr>
          <w:sz w:val="20"/>
          <w:szCs w:val="20"/>
          <w:color w:val="auto"/>
        </w:rPr>
      </w:pPr>
    </w:p>
    <w:p>
      <w:pPr>
        <w:ind w:left="20" w:right="99"/>
        <w:spacing w:after="0" w:line="289" w:lineRule="auto"/>
        <w:rPr>
          <w:sz w:val="20"/>
          <w:szCs w:val="20"/>
          <w:color w:val="auto"/>
        </w:rPr>
      </w:pPr>
      <w:r>
        <w:rPr>
          <w:rFonts w:ascii="Arial" w:cs="Arial" w:eastAsia="Arial" w:hAnsi="Arial"/>
          <w:sz w:val="11"/>
          <w:szCs w:val="11"/>
          <w:color w:val="auto"/>
        </w:rPr>
        <w:t>Ferrellgas, L.P. has no employees and is managed and controlled by its general partner. Pursuant to Ferrellgas, L.P.’s partnership agreement, the general partner is entitled to reimbursement for all direct and indirect expenses incurred or payments it makes on behalf of Ferrellgas, L.P. and all other necessary or appropriate expenses allocable to Ferrellgas, L.P. or otherwise reasonably incurred by its general partner in connection with operating Ferrellgas, L.P.’s business. These costs primarily include compensation and benefits paid to employees of the general partner who perform services on Ferrellgas, L.P.’s behalf and are reported in the condensed consolidated statements of operations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tcPr>
          <w:p>
            <w:pPr>
              <w:ind w:left="40"/>
              <w:spacing w:after="0"/>
              <w:rPr>
                <w:sz w:val="20"/>
                <w:szCs w:val="20"/>
                <w:color w:val="auto"/>
              </w:rPr>
            </w:pPr>
            <w:r>
              <w:rPr>
                <w:rFonts w:ascii="Arial" w:cs="Arial" w:eastAsia="Arial" w:hAnsi="Arial"/>
                <w:sz w:val="10"/>
                <w:szCs w:val="10"/>
                <w:b w:val="1"/>
                <w:bCs w:val="1"/>
                <w:color w:val="auto"/>
              </w:rPr>
              <w:t>For the three months ended April 30,</w:t>
            </w:r>
          </w:p>
        </w:tc>
        <w:tc>
          <w:tcPr>
            <w:tcW w:w="120" w:type="dxa"/>
            <w:vAlign w:val="bottom"/>
          </w:tcPr>
          <w:p>
            <w:pPr>
              <w:spacing w:after="0"/>
              <w:rPr>
                <w:sz w:val="10"/>
                <w:szCs w:val="10"/>
                <w:color w:val="auto"/>
              </w:rPr>
            </w:pPr>
          </w:p>
        </w:tc>
        <w:tc>
          <w:tcPr>
            <w:tcW w:w="1760" w:type="dxa"/>
            <w:vAlign w:val="bottom"/>
            <w:gridSpan w:val="5"/>
          </w:tcPr>
          <w:p>
            <w:pPr>
              <w:ind w:left="60"/>
              <w:spacing w:after="0"/>
              <w:rPr>
                <w:sz w:val="20"/>
                <w:szCs w:val="20"/>
                <w:color w:val="auto"/>
              </w:rPr>
            </w:pPr>
            <w:r>
              <w:rPr>
                <w:rFonts w:ascii="Arial" w:cs="Arial" w:eastAsia="Arial" w:hAnsi="Arial"/>
                <w:sz w:val="10"/>
                <w:szCs w:val="10"/>
                <w:b w:val="1"/>
                <w:bCs w:val="1"/>
                <w:color w:val="auto"/>
                <w:w w:val="98"/>
              </w:rPr>
              <w:t>For the nine months ended April 30,</w:t>
            </w:r>
          </w:p>
        </w:tc>
      </w:tr>
      <w:tr>
        <w:trPr>
          <w:trHeight w:val="88"/>
        </w:trPr>
        <w:tc>
          <w:tcPr>
            <w:tcW w:w="51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266"/>
              <w:spacing w:after="0" w:line="88"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24"/>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306"/>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5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64,242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67,241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195,817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203,796</w:t>
            </w:r>
          </w:p>
        </w:tc>
        <w:tc>
          <w:tcPr>
            <w:tcW w:w="40" w:type="dxa"/>
            <w:vAlign w:val="bottom"/>
            <w:shd w:val="clear" w:color="auto" w:fill="CCEEFF"/>
          </w:tcPr>
          <w:p>
            <w:pPr>
              <w:spacing w:after="0"/>
              <w:rPr>
                <w:sz w:val="11"/>
                <w:szCs w:val="11"/>
                <w:color w:val="auto"/>
              </w:rPr>
            </w:pPr>
          </w:p>
        </w:tc>
      </w:tr>
      <w:tr>
        <w:trPr>
          <w:trHeight w:val="144"/>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23,348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21,668</w:t>
            </w:r>
          </w:p>
        </w:tc>
        <w:tc>
          <w:tcPr>
            <w:tcW w:w="40" w:type="dxa"/>
            <w:vAlign w:val="bottom"/>
            <w:shd w:val="clear" w:color="auto" w:fill="CCEEFF"/>
          </w:tcPr>
          <w:p>
            <w:pPr>
              <w:spacing w:after="0"/>
              <w:rPr>
                <w:sz w:val="12"/>
                <w:szCs w:val="12"/>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additional discussions about transactions with the general partner and related parties in Note H – Equity.</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Term loan credit agreement with Ferrellgas Partners, L.P.</w:t>
      </w:r>
    </w:p>
    <w:p>
      <w:pPr>
        <w:spacing w:after="0" w:line="150"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On January 8, 2021, Ferrellgas, L.P. entered into a term loan credit agreement with Ferrellgas Partners, L.P., pursuant to which Ferrellgas, L.P. extended to Ferrellgas Partners, L.P. an unsecured, non-amortizing term loan in the aggregate principal amount of $19.9 million. The term loan bears interest at a rate of 20% per annum, and all interest on the term loan will be added to the outstanding principal amount of the term loan. The term loan will mature on July 1, 2022. Interest income totaled $1.0 million and $1.3 million for the three and nine months ended April 30, 2021, respectively, and is classified in the “Other income (expense), net” line item on the condensed consolidated statements of operations.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1" w:name="page62"/>
    <w:bookmarkEnd w:id="6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80" w:hanging="258"/>
        <w:spacing w:after="0"/>
        <w:tabs>
          <w:tab w:leader="none" w:pos="280"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Contingencies and commitments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Litigation</w:t>
      </w:r>
    </w:p>
    <w:p>
      <w:pPr>
        <w:spacing w:after="0" w:line="150"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Ferrellgas, L.P.’s operations are subject to all operating hazards and risks normally incidental to handling, storing, transporting and otherwise providing for use by consumers of combustible liquids such as propane and, prior to the sales of midstream operations during the fiscal year ended July 31, 2018, crude oil. As a result, at any given time, Ferrellgas, L.P. can be threatened with or named as a defendant in various lawsuits arising in the ordinary course of business. Other than as discussed below, Ferrellgas, L.P.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 L.P.</w:t>
      </w:r>
    </w:p>
    <w:p>
      <w:pPr>
        <w:spacing w:after="0" w:line="128" w:lineRule="exact"/>
        <w:rPr>
          <w:sz w:val="20"/>
          <w:szCs w:val="20"/>
          <w:color w:val="auto"/>
        </w:rPr>
      </w:pPr>
    </w:p>
    <w:p>
      <w:pPr>
        <w:ind w:left="20" w:right="79"/>
        <w:spacing w:after="0" w:line="308" w:lineRule="auto"/>
        <w:rPr>
          <w:sz w:val="20"/>
          <w:szCs w:val="20"/>
          <w:color w:val="auto"/>
        </w:rPr>
      </w:pPr>
      <w:r>
        <w:rPr>
          <w:rFonts w:ascii="Arial" w:cs="Arial" w:eastAsia="Arial" w:hAnsi="Arial"/>
          <w:sz w:val="10"/>
          <w:szCs w:val="10"/>
          <w:color w:val="auto"/>
        </w:rPr>
        <w:t>Ferrellgas, L.P.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L.P.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L.P. believes it has strong defenses and intends to vigorously defend itself against these remaining claims. Ferrellgas, L.P. does not believe loss is probable or reasonably estimable at this time related to the putative class action lawsuit.</w:t>
      </w:r>
    </w:p>
    <w:p>
      <w:pPr>
        <w:spacing w:after="0" w:line="249" w:lineRule="exact"/>
        <w:rPr>
          <w:sz w:val="20"/>
          <w:szCs w:val="20"/>
          <w:color w:val="auto"/>
        </w:rPr>
      </w:pPr>
    </w:p>
    <w:p>
      <w:pPr>
        <w:ind w:left="20" w:right="99"/>
        <w:spacing w:after="0" w:line="277" w:lineRule="auto"/>
        <w:rPr>
          <w:sz w:val="20"/>
          <w:szCs w:val="20"/>
          <w:color w:val="auto"/>
        </w:rPr>
      </w:pPr>
      <w:r>
        <w:rPr>
          <w:rFonts w:ascii="Arial" w:cs="Arial" w:eastAsia="Arial" w:hAnsi="Arial"/>
          <w:sz w:val="11"/>
          <w:szCs w:val="11"/>
          <w:color w:val="auto"/>
        </w:rPr>
        <w:t>Ferrellgas, L.P.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 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2" w:name="page63"/>
    <w:bookmarkEnd w:id="6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60" w:hanging="238"/>
        <w:spacing w:after="0"/>
        <w:tabs>
          <w:tab w:leader="none" w:pos="260"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Subsequent events</w:t>
      </w:r>
    </w:p>
    <w:p>
      <w:pPr>
        <w:spacing w:after="0" w:line="154" w:lineRule="exact"/>
        <w:rPr>
          <w:sz w:val="20"/>
          <w:szCs w:val="20"/>
          <w:color w:val="auto"/>
        </w:rPr>
      </w:pPr>
    </w:p>
    <w:p>
      <w:pPr>
        <w:jc w:val="both"/>
        <w:ind w:left="20" w:right="239"/>
        <w:spacing w:after="0" w:line="263" w:lineRule="auto"/>
        <w:rPr>
          <w:sz w:val="20"/>
          <w:szCs w:val="20"/>
          <w:color w:val="auto"/>
        </w:rPr>
      </w:pPr>
      <w:r>
        <w:rPr>
          <w:rFonts w:ascii="Arial" w:cs="Arial" w:eastAsia="Arial" w:hAnsi="Arial"/>
          <w:sz w:val="12"/>
          <w:szCs w:val="12"/>
          <w:color w:val="auto"/>
        </w:rPr>
        <w:t>Ferrellgas, L.P. has evaluated events and transactions occurring after the balance sheet date through the date Ferrellgas, L.P.’s condensed consolidated financial statements were issued and concluded that there were no events or transactions occurring during this period that require recognition or disclosure in its condensed consolidated financial statements, except as follows.</w:t>
      </w:r>
    </w:p>
    <w:p>
      <w:pPr>
        <w:spacing w:after="0" w:line="122" w:lineRule="exact"/>
        <w:rPr>
          <w:sz w:val="20"/>
          <w:szCs w:val="20"/>
          <w:color w:val="auto"/>
        </w:rPr>
      </w:pPr>
    </w:p>
    <w:p>
      <w:pPr>
        <w:ind w:left="20" w:right="259"/>
        <w:spacing w:after="0" w:line="259" w:lineRule="auto"/>
        <w:rPr>
          <w:sz w:val="20"/>
          <w:szCs w:val="20"/>
          <w:color w:val="auto"/>
        </w:rPr>
      </w:pPr>
      <w:r>
        <w:rPr>
          <w:rFonts w:ascii="Arial" w:cs="Arial" w:eastAsia="Arial" w:hAnsi="Arial"/>
          <w:sz w:val="12"/>
          <w:szCs w:val="12"/>
          <w:color w:val="auto"/>
        </w:rPr>
        <w:t>On June 11, 2021, Ferrellgas Partners, Ferrellgas, Inc. and certain subsidiaries of Ferrellgas Partners, as guarantors, the lenders party thereto, and JPMorgan Chase Bank, N.A., as administrative agent and collateral agent for the lenders (the “Agent”), entered into a First Amendment to Credit Agreement (the “Credit Agreement Amendment”) which amends its existing Credit Agreement, dated as of March 30, 2021 (the “Existing Credit Agreement”). The Credit Agreement Amendment does not alter the size or tenor of the loans provided (a four-year revolving credit facility in an aggregate principal amount of up to $350.0 million).</w:t>
      </w:r>
    </w:p>
    <w:p>
      <w:pPr>
        <w:spacing w:after="0" w:line="124" w:lineRule="exact"/>
        <w:rPr>
          <w:sz w:val="20"/>
          <w:szCs w:val="20"/>
          <w:color w:val="auto"/>
        </w:rPr>
      </w:pPr>
    </w:p>
    <w:p>
      <w:pPr>
        <w:ind w:left="20" w:right="59"/>
        <w:spacing w:after="0" w:line="254" w:lineRule="auto"/>
        <w:rPr>
          <w:sz w:val="20"/>
          <w:szCs w:val="20"/>
          <w:color w:val="auto"/>
        </w:rPr>
      </w:pPr>
      <w:r>
        <w:rPr>
          <w:rFonts w:ascii="Arial" w:cs="Arial" w:eastAsia="Arial" w:hAnsi="Arial"/>
          <w:sz w:val="12"/>
          <w:szCs w:val="12"/>
          <w:color w:val="auto"/>
        </w:rPr>
        <w:t>The Credit Agreement Amendment, which has an effective date of April 30, 2021, amends the financial covenant requiring Ferrellgas Partners and its subsidiaries to maintain a specified consolidated Minimum Interest Coverage Ratio (“Minimum Coverage Ratio”) of at least 2.50 to 1.00 as of the end of each fiscal quarter for the period consisting of the trailing four fiscal quarters by (i) waiving the financial covenant for the trailing four fiscal quarters ending April 30, 2021 and (ii) annualizing the consolidated cash interest charges component of the covenant for (a) the fiscal quarter ending on July 31, 2021, (b) the two fiscal quarters ending on October 31, 2021, and (c) the three fiscal quarters ending on January 31, 2022. In addition, the Credit Agreement Amendment waives compliance with the representations related to the accuracy of the information set forth in Schedules 4.12 and 4.29 to the Existing Credit Agreement and any default arising therefrom. The Credit Agreement Amendment further amends and replaces Schedules 4.12 and 4.29 in their entirety. In addition, the Credit Agreement Amendment modifies the timing for payment of certain fees and modifies certain provisions relating to the timing and delivery of collateral documents as well as certain other deliverables.</w:t>
      </w:r>
    </w:p>
    <w:p>
      <w:pPr>
        <w:spacing w:after="0" w:line="128"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The foregoing description of the Credit Agreement Amendment does not purport to be complete and is qualified in its entirety by reference to the full text of the First Amendment to the Credit Agreement, which is filed or incorporated by reference as Exhibit 10.29.</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3" w:name="page64"/>
    <w:bookmarkEnd w:id="6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0"/>
                <w:szCs w:val="10"/>
                <w:b w:val="1"/>
                <w:bCs w:val="1"/>
                <w:color w:val="auto"/>
              </w:rPr>
              <w:t>April 30, 2021</w:t>
            </w:r>
          </w:p>
        </w:tc>
        <w:tc>
          <w:tcPr>
            <w:tcW w:w="140" w:type="dxa"/>
            <w:vAlign w:val="bottom"/>
          </w:tcPr>
          <w:p>
            <w:pPr>
              <w:spacing w:after="0"/>
              <w:rPr>
                <w:sz w:val="10"/>
                <w:szCs w:val="10"/>
                <w:color w:val="auto"/>
              </w:rPr>
            </w:pPr>
          </w:p>
        </w:tc>
        <w:tc>
          <w:tcPr>
            <w:tcW w:w="800" w:type="dxa"/>
            <w:vAlign w:val="bottom"/>
          </w:tcPr>
          <w:p>
            <w:pPr>
              <w:jc w:val="right"/>
              <w:ind w:right="142"/>
              <w:spacing w:after="0"/>
              <w:rPr>
                <w:sz w:val="20"/>
                <w:szCs w:val="20"/>
                <w:color w:val="auto"/>
              </w:rPr>
            </w:pPr>
            <w:r>
              <w:rPr>
                <w:rFonts w:ascii="Arial" w:cs="Arial" w:eastAsia="Arial" w:hAnsi="Arial"/>
                <w:sz w:val="10"/>
                <w:szCs w:val="10"/>
                <w:b w:val="1"/>
                <w:bCs w:val="1"/>
                <w:color w:val="auto"/>
                <w:w w:val="93"/>
              </w:rPr>
              <w:t>July 31, 2020</w:t>
            </w:r>
          </w:p>
        </w:tc>
      </w:tr>
      <w:tr>
        <w:trPr>
          <w:trHeight w:val="133"/>
        </w:trPr>
        <w:tc>
          <w:tcPr>
            <w:tcW w:w="67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44"/>
        </w:trPr>
        <w:tc>
          <w:tcPr>
            <w:tcW w:w="6760" w:type="dxa"/>
            <w:vAlign w:val="bottom"/>
          </w:tcPr>
          <w:p>
            <w:pPr>
              <w:spacing w:after="0"/>
              <w:rPr>
                <w:sz w:val="20"/>
                <w:szCs w:val="20"/>
                <w:color w:val="auto"/>
              </w:rPr>
            </w:pPr>
            <w:r>
              <w:rPr>
                <w:rFonts w:ascii="Arial" w:cs="Arial" w:eastAsia="Arial" w:hAnsi="Arial"/>
                <w:sz w:val="12"/>
                <w:szCs w:val="12"/>
                <w:color w:val="auto"/>
              </w:rPr>
              <w:t>Cash</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1,100</w:t>
            </w:r>
          </w:p>
        </w:tc>
        <w:tc>
          <w:tcPr>
            <w:tcW w:w="2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1,100</w:t>
            </w:r>
          </w:p>
        </w:tc>
      </w:tr>
      <w:tr>
        <w:trPr>
          <w:trHeight w:val="144"/>
        </w:trPr>
        <w:tc>
          <w:tcPr>
            <w:tcW w:w="676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r>
      <w:tr>
        <w:trPr>
          <w:trHeight w:val="140"/>
        </w:trPr>
        <w:tc>
          <w:tcPr>
            <w:tcW w:w="6760" w:type="dxa"/>
            <w:vAlign w:val="bottom"/>
            <w:tcBorders>
              <w:bottom w:val="single" w:sz="8" w:color="CCEEFF"/>
            </w:tcBorders>
          </w:tcPr>
          <w:p>
            <w:pPr>
              <w:ind w:left="80"/>
              <w:spacing w:after="0" w:line="133" w:lineRule="exact"/>
              <w:rPr>
                <w:sz w:val="20"/>
                <w:szCs w:val="20"/>
                <w:color w:val="auto"/>
              </w:rPr>
            </w:pPr>
            <w:r>
              <w:rPr>
                <w:rFonts w:ascii="Arial" w:cs="Arial" w:eastAsia="Arial" w:hAnsi="Arial"/>
                <w:sz w:val="12"/>
                <w:szCs w:val="12"/>
                <w:b w:val="1"/>
                <w:bCs w:val="1"/>
                <w:color w:val="auto"/>
              </w:rPr>
              <w:t>Total assets</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1,100</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2,600</w:t>
            </w:r>
          </w:p>
        </w:tc>
      </w:tr>
      <w:tr>
        <w:trPr>
          <w:trHeight w:val="144"/>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4"/>
        </w:trPr>
        <w:tc>
          <w:tcPr>
            <w:tcW w:w="6760" w:type="dxa"/>
            <w:vAlign w:val="bottom"/>
          </w:tcPr>
          <w:p>
            <w:pPr>
              <w:spacing w:after="0"/>
              <w:rPr>
                <w:sz w:val="20"/>
                <w:szCs w:val="20"/>
                <w:color w:val="auto"/>
              </w:rPr>
            </w:pPr>
            <w:r>
              <w:rPr>
                <w:rFonts w:ascii="Arial" w:cs="Arial" w:eastAsia="Arial" w:hAnsi="Arial"/>
                <w:sz w:val="12"/>
                <w:szCs w:val="12"/>
                <w:b w:val="1"/>
                <w:bCs w:val="1"/>
                <w:color w:val="auto"/>
              </w:rPr>
              <w:t>Contingencies and commitments (Note B)</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4"/>
        </w:trPr>
        <w:tc>
          <w:tcPr>
            <w:tcW w:w="6760" w:type="dxa"/>
            <w:vAlign w:val="bottom"/>
          </w:tcPr>
          <w:p>
            <w:pPr>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6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 $1.00 par value; 2,000 shares authorized; 1,000 shares issued and outstanding</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44"/>
        </w:trPr>
        <w:tc>
          <w:tcPr>
            <w:tcW w:w="6760" w:type="dxa"/>
            <w:vAlign w:val="bottom"/>
          </w:tcPr>
          <w:p>
            <w:pPr>
              <w:ind w:left="80"/>
              <w:spacing w:after="0"/>
              <w:rPr>
                <w:sz w:val="20"/>
                <w:szCs w:val="20"/>
                <w:color w:val="auto"/>
              </w:rPr>
            </w:pPr>
            <w:r>
              <w:rPr>
                <w:rFonts w:ascii="Arial" w:cs="Arial" w:eastAsia="Arial" w:hAnsi="Arial"/>
                <w:sz w:val="12"/>
                <w:szCs w:val="12"/>
                <w:color w:val="auto"/>
              </w:rPr>
              <w:t>Additional paid in capital</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101,962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84,187</w:t>
            </w:r>
          </w:p>
        </w:tc>
      </w:tr>
      <w:tr>
        <w:trPr>
          <w:trHeight w:val="144"/>
        </w:trPr>
        <w:tc>
          <w:tcPr>
            <w:tcW w:w="6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Accumulated deficit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(101,862)</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(82,587)</w:t>
            </w:r>
          </w:p>
        </w:tc>
      </w:tr>
      <w:tr>
        <w:trPr>
          <w:trHeight w:val="140"/>
        </w:trPr>
        <w:tc>
          <w:tcPr>
            <w:tcW w:w="6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Total stockholder's equity</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1,100</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2,600</w:t>
            </w: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4" w:name="page65"/>
    <w:bookmarkEnd w:id="6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tcPr>
          <w:p>
            <w:pPr>
              <w:ind w:left="60"/>
              <w:spacing w:after="0"/>
              <w:rPr>
                <w:sz w:val="20"/>
                <w:szCs w:val="20"/>
                <w:color w:val="auto"/>
              </w:rPr>
            </w:pPr>
            <w:r>
              <w:rPr>
                <w:rFonts w:ascii="Arial" w:cs="Arial" w:eastAsia="Arial" w:hAnsi="Arial"/>
                <w:sz w:val="10"/>
                <w:szCs w:val="10"/>
                <w:b w:val="1"/>
                <w:bCs w:val="1"/>
                <w:color w:val="auto"/>
              </w:rPr>
              <w:t>For the three months ended April 30,</w:t>
            </w:r>
          </w:p>
        </w:tc>
        <w:tc>
          <w:tcPr>
            <w:tcW w:w="120" w:type="dxa"/>
            <w:vAlign w:val="bottom"/>
          </w:tcPr>
          <w:p>
            <w:pPr>
              <w:spacing w:after="0"/>
              <w:rPr>
                <w:sz w:val="10"/>
                <w:szCs w:val="10"/>
                <w:color w:val="auto"/>
              </w:rPr>
            </w:pPr>
          </w:p>
        </w:tc>
        <w:tc>
          <w:tcPr>
            <w:tcW w:w="1760" w:type="dxa"/>
            <w:vAlign w:val="bottom"/>
            <w:gridSpan w:val="5"/>
          </w:tcPr>
          <w:p>
            <w:pPr>
              <w:ind w:left="40"/>
              <w:spacing w:after="0"/>
              <w:rPr>
                <w:sz w:val="20"/>
                <w:szCs w:val="20"/>
                <w:color w:val="auto"/>
              </w:rPr>
            </w:pPr>
            <w:r>
              <w:rPr>
                <w:rFonts w:ascii="Arial" w:cs="Arial" w:eastAsia="Arial" w:hAnsi="Arial"/>
                <w:sz w:val="10"/>
                <w:szCs w:val="10"/>
                <w:b w:val="1"/>
                <w:bCs w:val="1"/>
                <w:color w:val="auto"/>
                <w:w w:val="99"/>
              </w:rPr>
              <w:t>For the nine months ended April 30,</w:t>
            </w:r>
          </w:p>
        </w:tc>
      </w:tr>
      <w:tr>
        <w:trPr>
          <w:trHeight w:val="88"/>
        </w:trPr>
        <w:tc>
          <w:tcPr>
            <w:tcW w:w="2560" w:type="dxa"/>
            <w:vAlign w:val="bottom"/>
            <w:tcBorders>
              <w:bottom w:val="single" w:sz="8" w:color="CCEEFF"/>
            </w:tcBorders>
          </w:tcPr>
          <w:p>
            <w:pPr>
              <w:spacing w:after="0"/>
              <w:rPr>
                <w:sz w:val="7"/>
                <w:szCs w:val="7"/>
                <w:color w:val="auto"/>
              </w:rPr>
            </w:pPr>
          </w:p>
        </w:tc>
        <w:tc>
          <w:tcPr>
            <w:tcW w:w="246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ind w:right="306"/>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44"/>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246"/>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4"/>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2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General and administrative expense</w:t>
            </w:r>
          </w:p>
        </w:tc>
        <w:tc>
          <w:tcPr>
            <w:tcW w:w="24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17,419</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2,104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19,275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6,010</w:t>
            </w:r>
          </w:p>
        </w:tc>
        <w:tc>
          <w:tcPr>
            <w:tcW w:w="40" w:type="dxa"/>
            <w:vAlign w:val="bottom"/>
            <w:shd w:val="clear" w:color="auto" w:fill="CCEEFF"/>
          </w:tcPr>
          <w:p>
            <w:pPr>
              <w:spacing w:after="0"/>
              <w:rPr>
                <w:sz w:val="11"/>
                <w:szCs w:val="11"/>
                <w:color w:val="auto"/>
              </w:rPr>
            </w:pPr>
          </w:p>
        </w:tc>
      </w:tr>
      <w:tr>
        <w:trPr>
          <w:trHeight w:val="144"/>
        </w:trPr>
        <w:tc>
          <w:tcPr>
            <w:tcW w:w="25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40"/>
        </w:trPr>
        <w:tc>
          <w:tcPr>
            <w:tcW w:w="25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loss</w:t>
            </w:r>
          </w:p>
        </w:tc>
        <w:tc>
          <w:tcPr>
            <w:tcW w:w="2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(17,419)</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(2,104)</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(19,275)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(6,010)</w:t>
            </w:r>
          </w:p>
        </w:tc>
        <w:tc>
          <w:tcPr>
            <w:tcW w:w="40" w:type="dxa"/>
            <w:vAlign w:val="bottom"/>
            <w:tcBorders>
              <w:bottom w:val="single" w:sz="8" w:color="CCEEFF"/>
            </w:tcBorders>
            <w:shd w:val="clear" w:color="auto" w:fill="CCEEFF"/>
          </w:tcPr>
          <w:p>
            <w:pPr>
              <w:spacing w:after="0"/>
              <w:rPr>
                <w:sz w:val="12"/>
                <w:szCs w:val="12"/>
                <w:color w:val="auto"/>
              </w:rPr>
            </w:pPr>
          </w:p>
        </w:tc>
      </w:tr>
      <w:tr>
        <w:trPr>
          <w:trHeight w:val="288"/>
        </w:trPr>
        <w:tc>
          <w:tcPr>
            <w:tcW w:w="2560" w:type="dxa"/>
            <w:vAlign w:val="bottom"/>
          </w:tcPr>
          <w:p>
            <w:pPr>
              <w:spacing w:after="0"/>
              <w:rPr>
                <w:sz w:val="24"/>
                <w:szCs w:val="24"/>
                <w:color w:val="auto"/>
              </w:rPr>
            </w:pPr>
          </w:p>
        </w:tc>
        <w:tc>
          <w:tcPr>
            <w:tcW w:w="3560" w:type="dxa"/>
            <w:vAlign w:val="bottom"/>
            <w:gridSpan w:val="4"/>
          </w:tcPr>
          <w:p>
            <w:pPr>
              <w:jc w:val="center"/>
              <w:ind w:left="240"/>
              <w:spacing w:after="0"/>
              <w:rPr>
                <w:sz w:val="20"/>
                <w:szCs w:val="20"/>
                <w:color w:val="auto"/>
              </w:rPr>
            </w:pPr>
            <w:r>
              <w:rPr>
                <w:rFonts w:ascii="Arial" w:cs="Arial" w:eastAsia="Arial" w:hAnsi="Arial"/>
                <w:sz w:val="12"/>
                <w:szCs w:val="12"/>
                <w:color w:val="auto"/>
                <w:w w:val="88"/>
              </w:rPr>
              <w:t>See notes to condensed financial statements.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8"/>
        </w:trPr>
        <w:tc>
          <w:tcPr>
            <w:tcW w:w="2560" w:type="dxa"/>
            <w:vAlign w:val="bottom"/>
          </w:tcPr>
          <w:p>
            <w:pPr>
              <w:spacing w:after="0"/>
              <w:rPr>
                <w:sz w:val="24"/>
                <w:szCs w:val="24"/>
                <w:color w:val="auto"/>
              </w:rPr>
            </w:pPr>
          </w:p>
        </w:tc>
        <w:tc>
          <w:tcPr>
            <w:tcW w:w="2460" w:type="dxa"/>
            <w:vAlign w:val="bottom"/>
          </w:tcPr>
          <w:p>
            <w:pPr>
              <w:jc w:val="right"/>
              <w:ind w:right="420"/>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2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65" w:name="page66"/>
    <w:bookmarkEnd w:id="6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wholly-owned subsidiary of Ferrellgas, L.P.)</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gridSpan w:val="5"/>
          </w:tcPr>
          <w:p>
            <w:pPr>
              <w:ind w:left="200"/>
              <w:spacing w:after="0"/>
              <w:rPr>
                <w:sz w:val="20"/>
                <w:szCs w:val="20"/>
                <w:color w:val="auto"/>
              </w:rPr>
            </w:pPr>
            <w:r>
              <w:rPr>
                <w:rFonts w:ascii="Arial" w:cs="Arial" w:eastAsia="Arial" w:hAnsi="Arial"/>
                <w:sz w:val="10"/>
                <w:szCs w:val="10"/>
                <w:b w:val="1"/>
                <w:bCs w:val="1"/>
                <w:color w:val="auto"/>
              </w:rPr>
              <w:t>For the nine months ended April 30,</w:t>
            </w:r>
          </w:p>
        </w:tc>
        <w:tc>
          <w:tcPr>
            <w:tcW w:w="0" w:type="dxa"/>
            <w:vAlign w:val="bottom"/>
          </w:tcPr>
          <w:p>
            <w:pPr>
              <w:spacing w:after="0"/>
              <w:rPr>
                <w:sz w:val="1"/>
                <w:szCs w:val="1"/>
                <w:color w:val="auto"/>
              </w:rPr>
            </w:pPr>
          </w:p>
        </w:tc>
      </w:tr>
      <w:tr>
        <w:trPr>
          <w:trHeight w:val="88"/>
        </w:trPr>
        <w:tc>
          <w:tcPr>
            <w:tcW w:w="664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2"/>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421"/>
              <w:spacing w:after="0" w:line="88"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6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40" w:type="dxa"/>
            <w:vAlign w:val="bottom"/>
          </w:tcPr>
          <w:p>
            <w:pPr>
              <w:ind w:left="80"/>
              <w:spacing w:after="0"/>
              <w:rPr>
                <w:sz w:val="20"/>
                <w:szCs w:val="20"/>
                <w:color w:val="auto"/>
              </w:rPr>
            </w:pPr>
            <w:r>
              <w:rPr>
                <w:rFonts w:ascii="Arial" w:cs="Arial" w:eastAsia="Arial" w:hAnsi="Arial"/>
                <w:sz w:val="12"/>
                <w:szCs w:val="12"/>
                <w:color w:val="auto"/>
              </w:rPr>
              <w:t>Net loss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(19,275)</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Cash used in operating activities</w:t>
            </w: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(17,775)</w:t>
            </w:r>
          </w:p>
        </w:tc>
        <w:tc>
          <w:tcPr>
            <w:tcW w:w="2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Capital contribution</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17,775</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Cash provided by financing activities</w:t>
            </w: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17,775</w:t>
            </w:r>
          </w:p>
        </w:tc>
        <w:tc>
          <w:tcPr>
            <w:tcW w:w="2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spacing w:after="0"/>
              <w:rPr>
                <w:sz w:val="20"/>
                <w:szCs w:val="20"/>
                <w:color w:val="auto"/>
              </w:rPr>
            </w:pPr>
            <w:r>
              <w:rPr>
                <w:rFonts w:ascii="Arial" w:cs="Arial" w:eastAsia="Arial" w:hAnsi="Arial"/>
                <w:sz w:val="12"/>
                <w:szCs w:val="12"/>
                <w:color w:val="auto"/>
              </w:rPr>
              <w:t>Net change in cash</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 beginning of period</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1,100</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 end of period</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1,100</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condensed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6" w:name="page67"/>
    <w:bookmarkEnd w:id="6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FERRELLGAS FINANCE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wholly-owned subsidiary of Ferrellgas, L.P.)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0" w:lineRule="exact"/>
        <w:rPr>
          <w:sz w:val="20"/>
          <w:szCs w:val="20"/>
          <w:color w:val="auto"/>
        </w:rPr>
      </w:pPr>
    </w:p>
    <w:p>
      <w:pPr>
        <w:ind w:left="260" w:hanging="238"/>
        <w:spacing w:after="0"/>
        <w:tabs>
          <w:tab w:leader="none" w:pos="260"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Formation</w:t>
      </w:r>
    </w:p>
    <w:p>
      <w:pPr>
        <w:spacing w:after="0" w:line="154" w:lineRule="exact"/>
        <w:rPr>
          <w:sz w:val="20"/>
          <w:szCs w:val="20"/>
          <w:color w:val="auto"/>
        </w:rPr>
      </w:pPr>
    </w:p>
    <w:p>
      <w:pPr>
        <w:ind w:left="20" w:right="619"/>
        <w:spacing w:after="0" w:line="276" w:lineRule="auto"/>
        <w:rPr>
          <w:sz w:val="20"/>
          <w:szCs w:val="20"/>
          <w:color w:val="auto"/>
        </w:rPr>
      </w:pPr>
      <w:r>
        <w:rPr>
          <w:rFonts w:ascii="Arial" w:cs="Arial" w:eastAsia="Arial" w:hAnsi="Arial"/>
          <w:sz w:val="12"/>
          <w:szCs w:val="12"/>
          <w:color w:val="auto"/>
        </w:rPr>
        <w:t>Ferrellgas Finance Corp. (the “Finance Corp.”), a Delaware corporation, was formed on January 16, 2003, and is a wholly-owned subsidiary of Ferrellgas, L.P. (the “operating partnership”).</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operating partnership contributed $1,000 to the Finance Corp. on January 24, 2003 in exchange for 1,000 shares of common stock.</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Finance Corp. has nominal assets, does not conduct any operations and has no employees.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Chapter 11 Bankruptcy Cases</w:t>
      </w:r>
    </w:p>
    <w:p>
      <w:pPr>
        <w:spacing w:after="0" w:line="150" w:lineRule="exact"/>
        <w:rPr>
          <w:sz w:val="20"/>
          <w:szCs w:val="20"/>
          <w:color w:val="auto"/>
        </w:rPr>
      </w:pPr>
    </w:p>
    <w:p>
      <w:pPr>
        <w:ind w:left="20" w:right="59"/>
        <w:spacing w:after="0" w:line="298" w:lineRule="auto"/>
        <w:rPr>
          <w:sz w:val="20"/>
          <w:szCs w:val="20"/>
          <w:color w:val="auto"/>
        </w:rPr>
      </w:pPr>
      <w:r>
        <w:rPr>
          <w:rFonts w:ascii="Arial" w:cs="Arial" w:eastAsia="Arial" w:hAnsi="Arial"/>
          <w:sz w:val="11"/>
          <w:szCs w:val="11"/>
          <w:color w:val="auto"/>
        </w:rPr>
        <w:t xml:space="preserve">As previously reported, on January 11, 2021, Ferrellgas Partners, L.P. (“Ferrellgas Partners”) and Ferrellgas Partners Finance Corp. filed voluntary petitions for relief under chapter 11 of title 11 of the United States Code in the United States Bankruptcy Court for the District of Delaware (the “Bankruptcy Court”). The chapter 11 cases were jointly administered under the caption and case numbers, </w:t>
      </w:r>
      <w:r>
        <w:rPr>
          <w:rFonts w:ascii="Arial" w:cs="Arial" w:eastAsia="Arial" w:hAnsi="Arial"/>
          <w:sz w:val="11"/>
          <w:szCs w:val="11"/>
          <w:i w:val="1"/>
          <w:iCs w:val="1"/>
          <w:color w:val="auto"/>
        </w:rPr>
        <w:t>In re: Ferrellgas Partners, L.P. and Ferrellgas Partners Finance Corp.</w:t>
      </w:r>
      <w:r>
        <w:rPr>
          <w:rFonts w:ascii="Arial" w:cs="Arial" w:eastAsia="Arial" w:hAnsi="Arial"/>
          <w:sz w:val="11"/>
          <w:szCs w:val="11"/>
          <w:color w:val="auto"/>
        </w:rPr>
        <w:t>, Chapter 11 Case Nos. 21-10020 and 21-10021.</w:t>
      </w:r>
    </w:p>
    <w:p>
      <w:pPr>
        <w:spacing w:after="0" w:line="105"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 xml:space="preserve">On March 5, 2021, the Bankruptcy Court entered an order (the “Confirmation Order”) confirming the </w:t>
      </w:r>
      <w:r>
        <w:rPr>
          <w:rFonts w:ascii="Arial" w:cs="Arial" w:eastAsia="Arial" w:hAnsi="Arial"/>
          <w:sz w:val="12"/>
          <w:szCs w:val="12"/>
          <w:i w:val="1"/>
          <w:iCs w:val="1"/>
          <w:color w:val="auto"/>
        </w:rPr>
        <w:t>Second Amended Prepackaged Joint Chapter 11 Plan of Reorganization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Ferrellgas Partners, L.P. and Ferrellgas Partners Finance Corp. </w:t>
      </w:r>
      <w:r>
        <w:rPr>
          <w:rFonts w:ascii="Arial" w:cs="Arial" w:eastAsia="Arial" w:hAnsi="Arial"/>
          <w:sz w:val="12"/>
          <w:szCs w:val="12"/>
          <w:color w:val="auto"/>
        </w:rPr>
        <w:t>(the “Plan”).</w:t>
      </w:r>
    </w:p>
    <w:p>
      <w:pPr>
        <w:spacing w:after="0" w:line="115"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March 30, 2021 (the “Effective Date”), the conditions to effectiveness of the Plan were satisfied and the Confirmation Order was deemed binding upon Ferrellgas Partners, Ferrellgas Partners Finance Corp., and all other parties affected by the Plan. In satisfying the conditions of the Plan, on the Effective Date, certain restructuring transactions by Ferrellgas Partners and certain financing transactions by the operating partnership were completed.</w:t>
      </w:r>
    </w:p>
    <w:p>
      <w:pPr>
        <w:spacing w:after="0" w:line="118" w:lineRule="exact"/>
        <w:rPr>
          <w:sz w:val="20"/>
          <w:szCs w:val="20"/>
          <w:color w:val="auto"/>
        </w:rPr>
      </w:pPr>
    </w:p>
    <w:p>
      <w:pPr>
        <w:ind w:left="260" w:hanging="238"/>
        <w:spacing w:after="0"/>
        <w:tabs>
          <w:tab w:leader="none" w:pos="260"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Contingencies and commitments</w:t>
      </w:r>
    </w:p>
    <w:p>
      <w:pPr>
        <w:spacing w:after="0" w:line="154" w:lineRule="exact"/>
        <w:rPr>
          <w:sz w:val="20"/>
          <w:szCs w:val="20"/>
          <w:color w:val="auto"/>
        </w:rPr>
      </w:pPr>
    </w:p>
    <w:p>
      <w:pPr>
        <w:ind w:left="20" w:right="79"/>
        <w:spacing w:after="0" w:line="309" w:lineRule="auto"/>
        <w:rPr>
          <w:sz w:val="20"/>
          <w:szCs w:val="20"/>
          <w:color w:val="auto"/>
        </w:rPr>
      </w:pPr>
      <w:r>
        <w:rPr>
          <w:rFonts w:ascii="Arial" w:cs="Arial" w:eastAsia="Arial" w:hAnsi="Arial"/>
          <w:sz w:val="10"/>
          <w:szCs w:val="10"/>
          <w:color w:val="auto"/>
        </w:rPr>
        <w:t>The Finance Corp. serves as co-issuer and co-obligor for debt securities of the operating partnership. At July 31, 2020, the Finance Corp. was liable as co-issuer and co-obligor for the operating partnership’s (i) $500 million aggregate principal amount of unsecured senior notes due 2021, (ii) $475 million aggregate principal amount of unsecured senior notes due 2022,</w:t>
      </w:r>
    </w:p>
    <w:p>
      <w:pPr>
        <w:spacing w:after="0" w:line="1" w:lineRule="exact"/>
        <w:rPr>
          <w:sz w:val="20"/>
          <w:szCs w:val="20"/>
          <w:color w:val="auto"/>
        </w:rPr>
      </w:pPr>
    </w:p>
    <w:p>
      <w:pPr>
        <w:ind w:left="20" w:right="139" w:firstLine="2"/>
        <w:spacing w:after="0" w:line="315" w:lineRule="auto"/>
        <w:tabs>
          <w:tab w:leader="none" w:pos="230" w:val="left"/>
        </w:tabs>
        <w:numPr>
          <w:ilvl w:val="0"/>
          <w:numId w:val="51"/>
        </w:numPr>
        <w:rPr>
          <w:rFonts w:ascii="Arial" w:cs="Arial" w:eastAsia="Arial" w:hAnsi="Arial"/>
          <w:sz w:val="10"/>
          <w:szCs w:val="10"/>
          <w:color w:val="auto"/>
        </w:rPr>
      </w:pPr>
      <w:r>
        <w:rPr>
          <w:rFonts w:ascii="Arial" w:cs="Arial" w:eastAsia="Arial" w:hAnsi="Arial"/>
          <w:sz w:val="10"/>
          <w:szCs w:val="10"/>
          <w:color w:val="auto"/>
        </w:rPr>
        <w:t>$500 million aggregate principal amount of unsecured senior notes due 2023, and (iv) $700 million aggregate principal amount of senior secured notes due 2025, which obligations were only reported on the operating partnership’s condensed consolidated balance sheet. The senior notes due 2021, senior notes due 2022 and senior notes due 2023 were redeemed on April 5, 2021, and the senior secured notes due 2025 were redeemed on the Effective Date. As of April 30, 2021, the Finance Corp. was liable as co-issuer and co-obligor for the operating partnership’s (i) $650 million aggregate principal amount of unsecured senior notes due 2026 and (ii) $825 million aggregate principal amount of unsecured senior notes due 2029, each of which were issued on the Effective Date and which obligations are only reported on the operating partnership’s condensed consolidated balance sheet.</w:t>
      </w:r>
    </w:p>
    <w:p>
      <w:pPr>
        <w:spacing w:after="0" w:line="96" w:lineRule="exact"/>
        <w:rPr>
          <w:sz w:val="20"/>
          <w:szCs w:val="20"/>
          <w:color w:val="auto"/>
        </w:rPr>
      </w:pPr>
    </w:p>
    <w:p>
      <w:pPr>
        <w:ind w:left="260" w:hanging="238"/>
        <w:spacing w:after="0"/>
        <w:tabs>
          <w:tab w:leader="none" w:pos="260"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Subsequent events</w:t>
      </w:r>
    </w:p>
    <w:p>
      <w:pPr>
        <w:spacing w:after="0" w:line="154" w:lineRule="exact"/>
        <w:rPr>
          <w:sz w:val="20"/>
          <w:szCs w:val="20"/>
          <w:color w:val="auto"/>
        </w:rPr>
      </w:pPr>
    </w:p>
    <w:p>
      <w:pPr>
        <w:ind w:left="20" w:right="259"/>
        <w:spacing w:after="0" w:line="379" w:lineRule="auto"/>
        <w:rPr>
          <w:sz w:val="20"/>
          <w:szCs w:val="20"/>
          <w:color w:val="auto"/>
        </w:rPr>
      </w:pPr>
      <w:r>
        <w:rPr>
          <w:rFonts w:ascii="Arial" w:cs="Arial" w:eastAsia="Arial" w:hAnsi="Arial"/>
          <w:sz w:val="10"/>
          <w:szCs w:val="10"/>
          <w:color w:val="auto"/>
        </w:rPr>
        <w:t>The Finance Corp. has evaluated events and transactions occurring after the balance sheet date through the date the Finance Corp.’s condensed consolidated financial statements were issued and concluded that there were no events or transactions occurring during this period that require recognition or disclosure in its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7" w:name="page68"/>
    <w:bookmarkEnd w:id="6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management’s discussion and analysis of financial condition and results of operations relates to Ferrellgas Partners and the operating partnership.</w:t>
      </w:r>
    </w:p>
    <w:p>
      <w:pPr>
        <w:spacing w:after="0" w:line="150"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Ferrellgas Partners Finance Corp. and Ferrellgas Finance Corp. have nominal assets, do not conduct any operations and have no employees other than officers. Ferrellgas Partners Finance Corp. serves as co-issuer and co-obligor for debt securities of Ferrellgas Partners, while Ferrellgas Finance Corp. serves as co-issuer and co-obligor for debt securities of the operating partnership. Accordingly, and due to the reduced disclosure format, a discussion of the results of operations, liquidity and capital resources of Ferrellgas Partners Finance Corp. and Ferrellgas Finance Corp. is not presented.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this Item 2 of the Quarterly Report on Form 10-Q, unless the context indicates otherwise:</w:t>
      </w:r>
    </w:p>
    <w:p>
      <w:pPr>
        <w:spacing w:after="0" w:line="150" w:lineRule="exact"/>
        <w:rPr>
          <w:sz w:val="20"/>
          <w:szCs w:val="20"/>
          <w:color w:val="auto"/>
        </w:rPr>
      </w:pPr>
    </w:p>
    <w:p>
      <w:pPr>
        <w:ind w:left="480" w:right="159" w:hanging="224"/>
        <w:spacing w:after="0" w:line="263"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“us,” “we,” “our,” “ours,” “consolidated,” or "Ferrellgas" are references to Ferrellgas Partners, L.P. together with its consolidated subsidiaries, including Ferrellgas Partners Finance Corp., Ferrellgas, L.P. and Ferrellgas Finance Corp., except when used in connection with “common units,” in which case these terms refer to Ferrellgas Partners, L.P. without its consolidated subsidiaries;</w:t>
      </w:r>
    </w:p>
    <w:p>
      <w:pPr>
        <w:spacing w:after="0" w:line="122"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“Ferrellgas Partners” refers to Ferrellgas Partners, L.P. itself, without its consolidated subsidiaries;</w:t>
      </w:r>
    </w:p>
    <w:p>
      <w:pPr>
        <w:spacing w:after="0" w:line="150" w:lineRule="exact"/>
        <w:rPr>
          <w:rFonts w:ascii="Arial" w:cs="Arial" w:eastAsia="Arial" w:hAnsi="Arial"/>
          <w:sz w:val="12"/>
          <w:szCs w:val="12"/>
          <w:color w:val="auto"/>
        </w:rPr>
      </w:pPr>
    </w:p>
    <w:p>
      <w:pPr>
        <w:ind w:left="480" w:right="299" w:hanging="224"/>
        <w:spacing w:after="0" w:line="276"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“operating partnership” refers to Ferrellgas, L.P., together (except where the context indicates otherwise) with its consolidated subsidiaries, including Ferrellgas Finance Corp.;</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our “general partner” refers to Ferrellgas, Inc.;</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“Ferrell Companies” refers to Ferrell Companies, Inc., the sole shareholder or sole member, as applicable, of our general partners;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“unitholders” refers to holders of Class A units of Ferrellgas Partners;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"GAAP" refers to accounting principles generally accepted in the United States;</w:t>
      </w:r>
    </w:p>
    <w:p>
      <w:pPr>
        <w:spacing w:after="0" w:line="150" w:lineRule="exact"/>
        <w:rPr>
          <w:rFonts w:ascii="Arial" w:cs="Arial" w:eastAsia="Arial" w:hAnsi="Arial"/>
          <w:sz w:val="12"/>
          <w:szCs w:val="12"/>
          <w:color w:val="auto"/>
        </w:rPr>
      </w:pPr>
    </w:p>
    <w:p>
      <w:pPr>
        <w:ind w:left="480" w:right="379" w:hanging="224"/>
        <w:spacing w:after="0" w:line="276"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“retail sales” refers to Propane and other gas liquid sales: Retail - Sales to End Users or the volume of propane sold primarily to our residential, industrial/commercial and agricultural customers;</w:t>
      </w:r>
    </w:p>
    <w:p>
      <w:pPr>
        <w:spacing w:after="0" w:line="114" w:lineRule="exact"/>
        <w:rPr>
          <w:rFonts w:ascii="Arial" w:cs="Arial" w:eastAsia="Arial" w:hAnsi="Arial"/>
          <w:sz w:val="12"/>
          <w:szCs w:val="12"/>
          <w:color w:val="auto"/>
        </w:rPr>
      </w:pPr>
    </w:p>
    <w:p>
      <w:pPr>
        <w:ind w:left="480" w:right="179" w:hanging="224"/>
        <w:spacing w:after="0" w:line="276"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“wholesale sales” refers to Propane and other gas liquid sales: Wholesale - Sales to Resellers or the volume of propane sold primarily to our portable tank exchange customers and bulk propane sold to wholesale customers;</w:t>
      </w:r>
    </w:p>
    <w:p>
      <w:pPr>
        <w:spacing w:after="0" w:line="114" w:lineRule="exact"/>
        <w:rPr>
          <w:rFonts w:ascii="Arial" w:cs="Arial" w:eastAsia="Arial" w:hAnsi="Arial"/>
          <w:sz w:val="12"/>
          <w:szCs w:val="12"/>
          <w:color w:val="auto"/>
        </w:rPr>
      </w:pPr>
    </w:p>
    <w:p>
      <w:pPr>
        <w:ind w:left="480" w:right="159" w:hanging="224"/>
        <w:spacing w:after="0" w:line="276"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“other gas sales” refers to Propane and other gas liquid sales: Other Gas Sales or the volume of bulk propane sold to other third-party propane distributors or marketers and the volume of refined fuel sold;</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“propane sales volume” refers to the volume of propane sold to our retail sales and wholesale sales customers;</w:t>
      </w:r>
    </w:p>
    <w:p>
      <w:pPr>
        <w:spacing w:after="0" w:line="150" w:lineRule="exact"/>
        <w:rPr>
          <w:rFonts w:ascii="Arial" w:cs="Arial" w:eastAsia="Arial" w:hAnsi="Arial"/>
          <w:sz w:val="12"/>
          <w:szCs w:val="12"/>
          <w:color w:val="auto"/>
        </w:rPr>
      </w:pPr>
    </w:p>
    <w:p>
      <w:pPr>
        <w:ind w:left="480" w:right="219" w:hanging="224"/>
        <w:spacing w:after="0" w:line="276" w:lineRule="auto"/>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“Ferrellgas Partners Notes” refers to the $357.0 million aggregate principal amount of 8.625% unsecured senior notes due June 15, 2020 co-issued by Ferrellgas Partners and Ferrellgas Partners Finance Corp.;</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“Notes” refers to the notes of the condensed consolidated financial statements of Ferrellgas Partners or the operating partnership, as applicable; and</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references to any fiscal year are to the fiscal year ended or ending on July 31 of the applicable year.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8" w:name="page69"/>
    <w:bookmarkEnd w:id="6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239"/>
        <w:spacing w:after="0" w:line="298" w:lineRule="auto"/>
        <w:rPr>
          <w:sz w:val="20"/>
          <w:szCs w:val="20"/>
          <w:color w:val="auto"/>
        </w:rPr>
      </w:pPr>
      <w:r>
        <w:rPr>
          <w:rFonts w:ascii="Arial" w:cs="Arial" w:eastAsia="Arial" w:hAnsi="Arial"/>
          <w:sz w:val="11"/>
          <w:szCs w:val="11"/>
          <w:color w:val="auto"/>
        </w:rPr>
        <w:t>Ferrellgas Partners is a holding entity that conducts no operations and has two direct subsidiaries, Ferrellgas Partners Finance Corp. and the operating partnership. Ferrellgas Partners’ only assets are its approximate 99% limited partnership interest in the operating partnership and its 100% equity interest in Ferrellgas Partners Finance Corp. The Class A units of Ferrellgas Partners are traded on the OTC Pink Market and our activities are primarily conducted through the operating partnership.</w:t>
      </w:r>
    </w:p>
    <w:p>
      <w:pPr>
        <w:spacing w:after="0" w:line="105"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The operating partnership was formed on April 22, 1994, and accounts for substantially all of our consolidated assets, sales and operating earnings, except for interest expense related to the senior notes co-issued by Ferrellgas Partners and Ferrellgas Partners Finance Corp.</w:t>
      </w:r>
    </w:p>
    <w:p>
      <w:pPr>
        <w:spacing w:after="0" w:line="115"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Our general partner performs all management functions for us and our subsidiaries and holds an approximate 1% general partner interest in Ferrellgas Partners and an approximate 1% general partner interest in the operating partnership. The parent company of our general partner, Ferrell Companies, beneficially owns approximately 23.4% of our outstanding Class A units. Ferrell Companies is owned 100% by an employee stock ownership trust.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We file annual, quarterly, and current reports and other information with the Securities and Exchange Commission (the "SEC"). You may read and download our SEC filings over the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color w:val="auto"/>
        </w:rPr>
        <w:t>Internet from several commercial document retrieval services as well as at the SEC’s website at www.sec.gov. Our SEC filings are also available on our website at www.ferrellgas.com at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 cost as soon as reasonably practicable after our electronic filing or furnishing thereof with the SEC. Please note that any Internet addresses provided in this Quarterly Report 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Form 10-Q are for informational purposes only and are not intended to be hyperlinks. Accordingly, no information found and/or provided at such Internet addresses is intended or deemed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be incorporated by reference herein.</w:t>
      </w:r>
    </w:p>
    <w:p>
      <w:pPr>
        <w:spacing w:after="0" w:line="141"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The following is a discussion of our historical financial condition and results of operations and should be read in conjunction with our audited historical consolidated financial statements and accompanying Notes thereto included in our Annual Report on Form 10-K for fiscal 2020 and in our unaudited historical condensed consolidated financial statements and accompanying Notes thereto included elsewhere in this Quarterly Report on Form 10-Q.</w:t>
      </w:r>
    </w:p>
    <w:p>
      <w:pPr>
        <w:spacing w:after="0" w:line="122"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The discussions set forth in the “Results of Operations” and “Liquidity and Capital Resources” sections generally refer to Ferrellgas Partners and its consolidated subsidiaries. However, in these discussions there exists one material differences between Ferrellgas Partners and the operating partnership:</w:t>
      </w:r>
    </w:p>
    <w:p>
      <w:pPr>
        <w:spacing w:after="0" w:line="115" w:lineRule="exact"/>
        <w:rPr>
          <w:sz w:val="20"/>
          <w:szCs w:val="20"/>
          <w:color w:val="auto"/>
        </w:rPr>
      </w:pPr>
    </w:p>
    <w:p>
      <w:pPr>
        <w:ind w:left="480" w:right="39" w:hanging="224"/>
        <w:spacing w:after="0" w:line="259" w:lineRule="auto"/>
        <w:tabs>
          <w:tab w:leader="none" w:pos="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Ferrellgas Partners, L.P. entered into a term loan credit agreement with Ferrellgas, L.P., pursuant to which Ferrellgas, L.P. extended to Ferrellgas Partners, L.P. an unsecured, non-amortizing term loan in the aggregate principal amount of $19.9 million. The term loan bears interest at a rate of 20% per annum, and all interest on the term loan will be added to the outstanding principal amount of the term loan. The term loan will mature on July 1, 2022. The balance of the outstanding loan and accrued interest at April 30, 2021 equals $25.1 million.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ind w:left="20" w:right="59"/>
        <w:spacing w:after="0" w:line="285" w:lineRule="auto"/>
        <w:rPr>
          <w:sz w:val="20"/>
          <w:szCs w:val="20"/>
          <w:color w:val="auto"/>
        </w:rPr>
      </w:pPr>
      <w:r>
        <w:rPr>
          <w:rFonts w:ascii="Arial" w:cs="Arial" w:eastAsia="Arial" w:hAnsi="Arial"/>
          <w:sz w:val="11"/>
          <w:szCs w:val="11"/>
          <w:color w:val="auto"/>
        </w:rPr>
        <w:t>Statements included in this report include forward-looking statements. These forward-looking statements are identified as any statement that does not relate strictly to historical or current facts. These statements often use words such as “anticipate,” “believe,”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our ability to generate sales, income or cash flow are forward-looking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9" w:name="page70"/>
    <w:bookmarkEnd w:id="6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20" w:right="39"/>
        <w:spacing w:after="0" w:line="298" w:lineRule="auto"/>
        <w:rPr>
          <w:sz w:val="20"/>
          <w:szCs w:val="20"/>
          <w:color w:val="auto"/>
        </w:rPr>
      </w:pPr>
      <w:r>
        <w:rPr>
          <w:rFonts w:ascii="Arial" w:cs="Arial" w:eastAsia="Arial" w:hAnsi="Arial"/>
          <w:sz w:val="11"/>
          <w:szCs w:val="11"/>
          <w:color w:val="auto"/>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spacing w:after="0" w:line="105" w:lineRule="exact"/>
        <w:rPr>
          <w:sz w:val="20"/>
          <w:szCs w:val="20"/>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effect of weather conditions on the demand for propane;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prices of wholesale propane, motor fuel and crude oil;</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disruptions to the supply of propane;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competition from other industry participants and other energy sources;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energy efficiency and technology advances;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adverse changes in our relationships with our national tank exchange customers;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significant delays in the collection of accounts or notes receivable;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customer, counterparty, supplier or vendor defaults;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changes in demand for, and production of, hydrocarbon products;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disruptions to railroad operations on the railroads we use;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increased trucking and rail regulations;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inherent operating and litigation risks in gathering, transporting, handling and storing propane;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inability to complete acquisitions or to successfully integrate acquired operations;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costs of complying with, or liabilities imposed under, environmental, health and safety laws;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impact of pending and future legal proceedings;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interruption, disruption, failure or malfunction of our information technology systems including due to cyber-attack;</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impact of changes in tax law that could adversely affect the tax treatment of Ferrellgas Partners for federal income tax purposes;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economic and political instability, particularly in areas of the world tied to the energy industry;</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disruptions in the capital and credit markets;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access to available capital to meet our operating and debt-service requirements;</w:t>
      </w:r>
    </w:p>
    <w:p>
      <w:pPr>
        <w:spacing w:after="0" w:line="150"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When considering any forward-looking statement, you should also keep in mind the risk factors set forth in “Item 1A. Risk Factors” of our Annual Report on Form 10-K for fiscal 2020 and in “Item 1A Risk Factors” of this Quarterly Report on Form 10-Q.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0" w:name="page71"/>
    <w:bookmarkEnd w:id="7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Except for our ongoing obligations to disclose material information as required by federal securities laws, we undertake no obligation to update any forward-looking statements or risk factors after the date of this Quarterly Report on Form 10-Q.</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COVID-19</w:t>
      </w:r>
    </w:p>
    <w:p>
      <w:pPr>
        <w:spacing w:after="0" w:line="150" w:lineRule="exact"/>
        <w:rPr>
          <w:sz w:val="20"/>
          <w:szCs w:val="20"/>
          <w:color w:val="auto"/>
        </w:rPr>
      </w:pPr>
    </w:p>
    <w:p>
      <w:pPr>
        <w:ind w:left="20" w:right="59"/>
        <w:spacing w:after="0" w:line="308" w:lineRule="auto"/>
        <w:rPr>
          <w:sz w:val="20"/>
          <w:szCs w:val="20"/>
          <w:color w:val="auto"/>
        </w:rPr>
      </w:pPr>
      <w:r>
        <w:rPr>
          <w:rFonts w:ascii="Arial" w:cs="Arial" w:eastAsia="Arial" w:hAnsi="Arial"/>
          <w:sz w:val="10"/>
          <w:szCs w:val="10"/>
          <w:color w:val="auto"/>
        </w:rPr>
        <w:t>The coronavirus disease 2019 (COVID-19), which has been declared by the World Health Organization as a “Public Health Emergency of International Concern,” continues to impact the economy of the United States and other countries around the world. COVID-19 poses the risk that we or our employees, contractors, suppliers, customers and other business partners may be prevented from or limited in conducting business activities for an indefinite period of time. The outbreak of COVID-19 has already resulted in significant governmental measures being implemented to control the spread of the virus, including quarantines, travel restrictions, manufacturing restrictions, declarations of national emergency and states of emergency, business shutdowns and restrictions on the movement of people throughout the United States and the world. While some of our business operations and support systems are deemed essential in many jurisdictions, we are continuing to assess the impact that COVID-19 may have on our results of operations and financial condition and cannot at this time accurately predict what effects these conditions will have on our operations and sales due to uncertainties relating to the ultimate geographic spread of the virus, the severity of the disease, the duration of the outbreak and the length of the travel restrictions and business closures imposed by governments in different jurisdictions. Additionally, initiatives we have implemented or may implement to slow and/or reduce the impact of COVID-19, such as using staggered start times for drivers, may increase our operating expenses and reduce the efficiency of our operations. Any of the foregoing events or other unforeseen consequences of public health epidemics may have further adverse impacts on U.S. and global economic conditions, including a general slowdown in the U.S. economy, which could decrease demand for our products and have a material adverse effect on our results of operations and financial condition.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Chapter 11 Bankruptcy Cases</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 xml:space="preserve">As previously reported on January 11, 2021, Ferrellgas Partners and Ferrellgas Partners Finance Corp. filed voluntary petitions for relief under chapter 11 of title 11 of the United States Code in the United States Bankruptcy Court for the District of Delaware (the “Bankruptcy Court”). The chapter 11 cases were jointly administered under the caption and case numbers,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re: Ferrellgas Partners, L.P. and Ferrellgas Partners Finance Corp.</w:t>
      </w:r>
      <w:r>
        <w:rPr>
          <w:rFonts w:ascii="Arial" w:cs="Arial" w:eastAsia="Arial" w:hAnsi="Arial"/>
          <w:sz w:val="12"/>
          <w:szCs w:val="12"/>
          <w:color w:val="auto"/>
        </w:rPr>
        <w:t>, Chapter 11 Case Nos. 21-10020 and 21-10021.</w:t>
      </w:r>
    </w:p>
    <w:p>
      <w:pPr>
        <w:spacing w:after="0" w:line="122"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 xml:space="preserve">On March 5, 2021, the Bankruptcy Court entered an order (the “Confirmation Order”) confirming the </w:t>
      </w:r>
      <w:r>
        <w:rPr>
          <w:rFonts w:ascii="Arial" w:cs="Arial" w:eastAsia="Arial" w:hAnsi="Arial"/>
          <w:sz w:val="12"/>
          <w:szCs w:val="12"/>
          <w:i w:val="1"/>
          <w:iCs w:val="1"/>
          <w:color w:val="auto"/>
        </w:rPr>
        <w:t>Second Amended Prepackaged Joint Chapter 11 Plan of Reorganization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Ferrellgas Partners, L.P. and Ferrellgas Partners Finance Corp. </w:t>
      </w:r>
      <w:r>
        <w:rPr>
          <w:rFonts w:ascii="Arial" w:cs="Arial" w:eastAsia="Arial" w:hAnsi="Arial"/>
          <w:sz w:val="12"/>
          <w:szCs w:val="12"/>
          <w:color w:val="auto"/>
        </w:rPr>
        <w:t>(the “Plan”).</w:t>
      </w:r>
    </w:p>
    <w:p>
      <w:pPr>
        <w:spacing w:after="0" w:line="115"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March 30, 2021 (the “Effective Date”), the conditions to effectiveness of the Plan were satisfied and the Confirmation Order was deemed binding upon Ferrellgas Partners, Ferrellgas Partners Finance Corp. and all other parties affected by the Plan. In satisfying the conditions of the Plan, on the Effective Date, certain restructuring transactions by Ferrellgas Partners and certain financing transactions by the operating partnership were completed, as further described under “–Transactions” below.</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Ferrellgas has accounted for the effects of the reorganization and determined that fresh-start accounting does not need to be applied, as a change in control did not occur.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Transactions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Satisfaction of Ferrellgas Partners Notes; Issuance of Class B Units to Holders of Ferrellgas Partners Notes</w:t>
      </w:r>
    </w:p>
    <w:p>
      <w:pPr>
        <w:spacing w:after="0" w:line="150"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On the Effective Date, by operation of the Plan, all outstanding indebtedness (including accrued interest) of Ferrellgas Partners and Ferrellgas Partners Finance Corp. under their $357.0 million aggregate principal amount of the Ferrellgas Partners Notes were discharged and cancelled.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1" w:name="page72"/>
    <w:bookmarkEnd w:id="7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439"/>
        <w:spacing w:after="0" w:line="276" w:lineRule="auto"/>
        <w:rPr>
          <w:sz w:val="20"/>
          <w:szCs w:val="20"/>
          <w:color w:val="auto"/>
        </w:rPr>
      </w:pPr>
      <w:r>
        <w:rPr>
          <w:rFonts w:ascii="Arial" w:cs="Arial" w:eastAsia="Arial" w:hAnsi="Arial"/>
          <w:sz w:val="12"/>
          <w:szCs w:val="12"/>
          <w:color w:val="auto"/>
        </w:rPr>
        <w:t>Pursuant to the Plan, Ferrellgas Partners issued an aggregate of 1.3 million Class B Units to holders of the Ferrellgas Partners Notes in satisfaction of their claims in respect of the Ferrellgas Partners Notes. See Note H – Equity for additional discussion.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Preferred Units of the Operating Partnership</w:t>
      </w:r>
    </w:p>
    <w:p>
      <w:pPr>
        <w:spacing w:after="0" w:line="132"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On the Effective Date, the operating partnership and the general partner (in its capacity as the general partner of operating partnership) entered into an Investment Agreement (the “Investment Agreement”) with certain purchasers named therein, pursuant to which, on the Effective Date, the operating partnership issued and sold to such purchasers an aggregate of 700,000 Senior Preferred Units (the “Preferred Units”), having an aggregate initial liquidation preference of $700.0 million. The purchase price per Preferred Unit was $1,000 less a 3.0% purchase price discount, for an aggregate purchase price of $679.0 million.</w:t>
      </w:r>
    </w:p>
    <w:p>
      <w:pPr>
        <w:spacing w:after="0" w:line="124"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operating partnership received net proceeds from the issuance and sale of the Preferred Units of approximately $651.8 million, after deducting the purchase price discount and certain expenses. The operating partnership used such net proceeds, together with the net proceeds of the issuance and sale of the 2026 Notes and the 2029 Notes (as defined and described below) and cash on hand, (i) to redeem (or satisfy and discharge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G – Preferred units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Issuance of Senior Unsecured Notes of the Operating Partnership</w:t>
      </w:r>
    </w:p>
    <w:p>
      <w:pPr>
        <w:spacing w:after="0" w:line="123"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On the Effective Date, two wholly-owned subsidiaries of the operating partnership (the “Escrow Issuers”) issued $650.0 million aggregate principal amount of 5.375% senior notes due 2026 (the “2026 Notes”) and $825.0 million aggregate principal amount of 5.875% senior notes due 2029 (the “2029 Notes”), in each case, at an offering price equal to 100% of the principal amount thereof. On the Effective Date and immediately after the issuance of the 2026 Notes and the 2029 Notes by the Escrow Issuers, (i) the Escrow Issuers were merged into the operating partnership and Ferrellgas Finance Corp., respectively, and the operating partnership and Ferrellgas Finance Corp. assumed the obligations of the Escrow Issuers as co-issuers of the 2026 Notes and the 2029 Notes, and (ii) the general partner and certain subsidiaries of the operating partnership guaranteed the 2026 Notes and the 2029 Notes.</w:t>
      </w:r>
    </w:p>
    <w:p>
      <w:pPr>
        <w:spacing w:after="0" w:line="113"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The operating partnership received aggregate net proceeds from the issuance and sale of the 2026 Notes and the 2029 Notes of approximately $1,446.5 million, after deducting the initial purchaser’s discount and offering expenses. The operating partnership used such net proceeds, together with the net proceeds of the issuance and sale of the Preferred Units and cash on hand, (i) to redeem (or satisfy and discharge the indentures governing and subsequently redeem) all of the operating partnership’s previously issued and outstanding senior notes, as described below, and (ii) to repay all outstanding obligations under the operating partnership’s then-existing accounts receivable securitization facility in connection with the termination of that facility, as described below. See Note F – Debt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Redemption of Previously Issued Senior Notes of the Operating Partnership</w:t>
      </w:r>
    </w:p>
    <w:p>
      <w:pPr>
        <w:spacing w:after="0" w:line="150"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Prior to the Effective Date, the operating partnership delivered notices of redemption of all its previously issued and outstanding 10.00% senior secured notes due 2025 (the “2025 Notes”), 6.50% senior unsecured notes due 2021 (the “2021 Notes”), 6.75% senior unsecured notes due 2022 (the “2022 Notes”) and 6.75% senior unsecured notes due 2023 (the “2023 Notes”), in the aggregate combined principal amount for all such notes of $2,175.0 million, pursuant the terms of the indentures governing those notes, with a redemption date of March 30, 2021 for the 2025 Notes and April 5, 2021 for the 2021 Notes, the 2022 Notes and the 2023 Notes.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2" w:name="page73"/>
    <w:bookmarkEnd w:id="7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59"/>
        <w:spacing w:after="0" w:line="285" w:lineRule="auto"/>
        <w:rPr>
          <w:sz w:val="20"/>
          <w:szCs w:val="20"/>
          <w:color w:val="auto"/>
        </w:rPr>
      </w:pPr>
      <w:r>
        <w:rPr>
          <w:rFonts w:ascii="Arial" w:cs="Arial" w:eastAsia="Arial" w:hAnsi="Arial"/>
          <w:sz w:val="11"/>
          <w:szCs w:val="11"/>
          <w:color w:val="auto"/>
        </w:rPr>
        <w:t>On the Effective Date, the operating partnership redeemed all of the issued and outstanding 2025 Notes. Also on the Effective Date, the operating partnership (i) satisfied and discharged the indentures governing the 2021 Notes, the 2022 Notes and the 2023 Notes by irrevocably depositing with the applicable trustees under such indentures funds in an amount sufficient to pay the redemption price for all of such notes on April 5, 2021 and (ii) delivered irrevocable instructions directing the applicable trustees to apply such funds to the redemption of such notes on April 5, 2021. As a result, as of the Effective Date, the indentures governing the 2021 Notes, the 2022 Notes and the 2023 Notes ceased to be of further effect (except as to certain expressly surviving rights), and all of the issued and outstanding 2021 Notes, 2022 Notes and 2023 Notes were redeemed on April 5, 2021.</w:t>
      </w:r>
    </w:p>
    <w:p>
      <w:pPr>
        <w:spacing w:after="0" w:line="113"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The aggregate redemption price for the 2021 Notes, the 2022 Notes, the 2023 Notes and the 2025 Notes was approximately $2,320.9 million, consisting of principal, redemption premium (in the case of the 2023 Notes and the 2025 Notes) and accrued and unpaid interest to the applicable redemption date. See Note F – Debt for additional discussion.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Credit Agreement</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On the Effective Date, the operating partnership, the general partner and certain of the operating partnership’s subsidiaries entered into a Credit Agreement, which provides for a four-year revolving credit facility in an aggregate principal amount of up to $350.0 million, including a sublimit not to exceed $225.0 million for the issuance of letters of credit for a period of 60 days after March 30, 2021, reducing to $200.0 million thereafter. See Note F – Debt for additional discussion.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Termination of Accounts Receivable Securitization Facility</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On the Effective Date, the operating partnership and its receivables subsidiary repaid all of the outstanding obligations and fees under the then-existing accounts receivable securitization facility and terminated that facility. See Note E – Accounts and notes receivable, net for additional discussion.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Amended Partnership Agreements of Ferrellgas Partners and the Operating Partnership</w:t>
      </w:r>
    </w:p>
    <w:p>
      <w:pPr>
        <w:spacing w:after="0" w:line="132"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On the Effective Date, the general partner executed the Sixth Amended and Restated Agreement of Limited Partnership of Ferrellgas Partners, L.P. (the “Amended Ferrellgas Partners LPA”), which amended and restated in its entirety the Fifth Amended and Restated Agreement of Limited Partnership of Ferrellgas Partners, L.P. Among other matters, the Amended Ferrellgas Partners LPA provided for the restructuring of Ferrellgas Partners in accordance with the Plan, including (i) effecting a reverse unit split of Ferrellgas Partners’ then-outstanding common units pursuant to which the holders of the common units received one Class A Unit for every twenty common units held, and (ii) providing for the issuance of Class B Units to the holders of the Ferrellgas Partners Notes in exchange for such holders’ contribution of the Ferrellgas Partners Notes as a capital contribution to Ferrellgas Partners and in satisfaction of such holders’ claims in respect of the Ferrellgas Partners Notes. See Note H – Equity for additional discussion.</w:t>
      </w:r>
    </w:p>
    <w:p>
      <w:pPr>
        <w:spacing w:after="0" w:line="86"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Also on the Effective Date, the general partner executed (i) the Fifth Amended and Restated Agreement of Limited Partnership of Ferrellgas, L.P. (the “Amended OpCo LPA”), which amended and restated in its entirety the Fourth Amended and Restated Agreement of Limited Partnership of Ferrellgas L.P., and (ii) a First Amendment to the Amended OpCo LPA (the “OpCo LPA First Amendment”), which sets forth the preferences, rights, privileges and other terms of the Preferred Units.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How We Evaluate Our Operations</w:t>
      </w:r>
    </w:p>
    <w:p>
      <w:pPr>
        <w:spacing w:after="0" w:line="154"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We evaluate our overall business performance based primarily on a metric we refer to as “Adjusted EBITDA”, which is not defined by GAAP and should not be considered an alternative to earnings measures defined by GAAP. We do not utilize depreciation, depletion and amortization expense in our key measures because we focus our performance management on cash flow generation and our revenue generating assets have long useful lives. For the definition of Adjusted EBITDA and a reconciliation of Adjusted EBITDA to Net earnings (loss) attributable to Ferrellgas Partners, L.P., the most directly comparable GAAP measure, see the subheading “Non-GAAP Financial Measures” below.</w:t>
      </w:r>
    </w:p>
    <w:p>
      <w:pPr>
        <w:spacing w:after="0" w:line="111"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Based on our propane sales volumes in fiscal 2020, we believe that we are the second largest retail marketer of propane in the United States and a leading national provider of propane by portable tank exchange. We serve residential,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3" w:name="page74"/>
    <w:bookmarkEnd w:id="7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59"/>
        <w:spacing w:after="0" w:line="323" w:lineRule="auto"/>
        <w:rPr>
          <w:sz w:val="20"/>
          <w:szCs w:val="20"/>
          <w:color w:val="auto"/>
        </w:rPr>
      </w:pPr>
      <w:r>
        <w:rPr>
          <w:rFonts w:ascii="Arial" w:cs="Arial" w:eastAsia="Arial" w:hAnsi="Arial"/>
          <w:sz w:val="11"/>
          <w:szCs w:val="11"/>
          <w:color w:val="auto"/>
        </w:rPr>
        <w:t>industrial/commercial, portable tank exchange, agricultural, wholesale and other customers in all 50 states, the District of Columbia and Puerto Rico. Our operations primarily include the retail distribution and sale of propane and related equipment and supplies with concentrations in the Midwest, Southeast, Southwest and Northwest regions of the United States.</w:t>
      </w:r>
    </w:p>
    <w:p>
      <w:pPr>
        <w:spacing w:after="0" w:line="92" w:lineRule="exact"/>
        <w:rPr>
          <w:sz w:val="20"/>
          <w:szCs w:val="20"/>
          <w:color w:val="auto"/>
        </w:rPr>
      </w:pPr>
    </w:p>
    <w:p>
      <w:pPr>
        <w:ind w:left="20" w:right="39"/>
        <w:spacing w:after="0" w:line="298" w:lineRule="auto"/>
        <w:rPr>
          <w:sz w:val="20"/>
          <w:szCs w:val="20"/>
          <w:color w:val="auto"/>
        </w:rPr>
      </w:pPr>
      <w:r>
        <w:rPr>
          <w:rFonts w:ascii="Arial" w:cs="Arial" w:eastAsia="Arial" w:hAnsi="Arial"/>
          <w:sz w:val="11"/>
          <w:szCs w:val="11"/>
          <w:color w:val="auto"/>
        </w:rPr>
        <w:t>We use information on temperatures to understand how our results of operations are affected by temperatures that are warmer or colder than normal. Normal temperatures computed by us are the average of the last 10 years of information published by the National Oceanic and Atmospheric Administration. Based on this information we calculate a ratio of actual heating degree days to normal heating degree days. Heating degree days are a general indicator of weather impacting propane usage.</w:t>
      </w:r>
    </w:p>
    <w:p>
      <w:pPr>
        <w:spacing w:after="0" w:line="105" w:lineRule="exact"/>
        <w:rPr>
          <w:sz w:val="20"/>
          <w:szCs w:val="20"/>
          <w:color w:val="auto"/>
        </w:rPr>
      </w:pPr>
    </w:p>
    <w:p>
      <w:pPr>
        <w:ind w:left="20" w:right="99"/>
        <w:spacing w:after="0" w:line="280" w:lineRule="auto"/>
        <w:rPr>
          <w:sz w:val="20"/>
          <w:szCs w:val="20"/>
          <w:color w:val="auto"/>
        </w:rPr>
      </w:pPr>
      <w:r>
        <w:rPr>
          <w:rFonts w:ascii="Arial" w:cs="Arial" w:eastAsia="Arial" w:hAnsi="Arial"/>
          <w:sz w:val="11"/>
          <w:szCs w:val="11"/>
          <w:color w:val="auto"/>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liquidity availability. Conversely, if the United States were to experience a continued warming trend, we could expect nationwide demand for propane for heating purposes to decrease which could lead to a reduction in our sales, income and liquidity availability as well as impact our ability to maintain compliance with our debt covenants.</w:t>
      </w:r>
    </w:p>
    <w:p>
      <w:pPr>
        <w:spacing w:after="0" w:line="115"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We employ risk management activities that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24" w:lineRule="exact"/>
        <w:rPr>
          <w:sz w:val="20"/>
          <w:szCs w:val="20"/>
          <w:color w:val="auto"/>
        </w:rPr>
      </w:pPr>
    </w:p>
    <w:p>
      <w:pPr>
        <w:ind w:left="20" w:right="39"/>
        <w:spacing w:after="0" w:line="254" w:lineRule="auto"/>
        <w:rPr>
          <w:sz w:val="20"/>
          <w:szCs w:val="20"/>
          <w:color w:val="auto"/>
        </w:rPr>
      </w:pPr>
      <w:r>
        <w:rPr>
          <w:rFonts w:ascii="Arial" w:cs="Arial" w:eastAsia="Arial" w:hAnsi="Arial"/>
          <w:sz w:val="12"/>
          <w:szCs w:val="12"/>
          <w:color w:val="auto"/>
        </w:rPr>
        <w:t>Our open financial derivative propane purchase commitments are designated as hedges primarily for fiscal 2021 and 2022 sales commitments and, as of April 30, 2021, we have experienced net mark-to-market gains of approximately $32.2 million. Because these financial derivative purchase commitments qualify for hedge accounting treatment, the resulting asset, liability and related mark-to-market gains or losses are recorded on the condensed consolidated balance sheets as “Prepaid expenses and other current assets,” “Other current liabilities,” "Other liabilities" and “Accumulated other comprehensive income,” respectively, until settled. Upon settlement, realized gains or losses on these contracts will be reclassified to “Cost of sales-propane and other gas liquid sales” in the condensed consolidated statements of operations as the underlying inventory is sold. These financial derivative purchase commitment net gains are expected to be offset by decreased margins on propane sales commitments that qualify for the normal purchase normal sale exception. At April 30, 2021, we estimate 62% of currently open financial derivative purchase commitments, the related propane sales commitments and the resulting gross margin will be realized into earnings during the next twelve months.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Summary Discussion of Results of Operations: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Executive Overview</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For the three months ended April 30, 2021 and 2020</w:t>
      </w:r>
    </w:p>
    <w:p>
      <w:pPr>
        <w:spacing w:after="0" w:line="150" w:lineRule="exact"/>
        <w:rPr>
          <w:sz w:val="20"/>
          <w:szCs w:val="20"/>
          <w:color w:val="auto"/>
        </w:rPr>
      </w:pPr>
    </w:p>
    <w:p>
      <w:pPr>
        <w:jc w:val="both"/>
        <w:ind w:left="20" w:right="199"/>
        <w:spacing w:after="0" w:line="298" w:lineRule="auto"/>
        <w:rPr>
          <w:sz w:val="20"/>
          <w:szCs w:val="20"/>
          <w:color w:val="auto"/>
        </w:rPr>
      </w:pPr>
      <w:r>
        <w:rPr>
          <w:rFonts w:ascii="Arial" w:cs="Arial" w:eastAsia="Arial" w:hAnsi="Arial"/>
          <w:sz w:val="11"/>
          <w:szCs w:val="11"/>
          <w:color w:val="auto"/>
        </w:rPr>
        <w:t>Weather in the more highly concentrated geographic areas we serve for the three months ended April 30, 2021 was approximately 3% colder than normal, and 8% colder than the prior year period. A sustained and widespread cooler weather pattern during the month of February where average temperatures were 15% colder than normal and 18% colder than February 2020 contributed to an increase in heat-related demand and volumes sold. We estimate that this colder weather increased retail gallons compared to the prior year.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4" w:name="page75"/>
    <w:bookmarkEnd w:id="7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239"/>
        <w:spacing w:after="0" w:line="298" w:lineRule="auto"/>
        <w:rPr>
          <w:sz w:val="20"/>
          <w:szCs w:val="20"/>
          <w:color w:val="auto"/>
        </w:rPr>
      </w:pPr>
      <w:r>
        <w:rPr>
          <w:rFonts w:ascii="Arial" w:cs="Arial" w:eastAsia="Arial" w:hAnsi="Arial"/>
          <w:sz w:val="11"/>
          <w:szCs w:val="11"/>
          <w:color w:val="auto"/>
        </w:rPr>
        <w:t>During the three months ended April 30, 2021, we recognized net loss attributable to Ferrellgas Partners, L.P. of $66.8 million, compared to net loss attributable to Ferrellgas Partners, L.P. of $15.4 million during the three months ended April 30, 2020. This increased loss reflects a $72.5 million increase in “Loss on extinguishment of debt” and $9.0 million of “Reorganization items, net” incurred only in fiscal 2021, partially offset by a $28.2 million increase in “Gross margin – Propane and other gas liquid sales”.</w:t>
      </w:r>
    </w:p>
    <w:p>
      <w:pPr>
        <w:spacing w:after="0" w:line="105"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Interest expense decreased $3.5 million primarily due to a $7.7 million decrease in interest recognized on the Ferrellgas Partner Notes, partially offset by the following April 2020 transactions: net additional borrowings related to the refinancing of our terminated senior secured credit facility with the issuance of $700.0 million principal amount of the 2025 Notes and, to a lesser extent, increased interest rates on the 2025 Notes.</w:t>
      </w:r>
    </w:p>
    <w:p>
      <w:pPr>
        <w:spacing w:after="0" w:line="122" w:lineRule="exact"/>
        <w:rPr>
          <w:sz w:val="20"/>
          <w:szCs w:val="20"/>
          <w:color w:val="auto"/>
        </w:rPr>
      </w:pPr>
    </w:p>
    <w:p>
      <w:pPr>
        <w:ind w:left="20" w:right="379"/>
        <w:spacing w:after="0" w:line="276" w:lineRule="auto"/>
        <w:rPr>
          <w:sz w:val="20"/>
          <w:szCs w:val="20"/>
          <w:color w:val="auto"/>
        </w:rPr>
      </w:pPr>
      <w:r>
        <w:rPr>
          <w:rFonts w:ascii="Arial" w:cs="Arial" w:eastAsia="Arial" w:hAnsi="Arial"/>
          <w:sz w:val="12"/>
          <w:szCs w:val="12"/>
          <w:color w:val="auto"/>
        </w:rPr>
        <w:t>Distributable cash flow excess increased to $68.9 million in the current period from $42.0 million in the prior year period, primarily due to a $26.9 million increase to our Adjusted EBITDA, and by a $5.7 million decrease in our net cash interest expense.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For the nine months ended April 30, 2021 and 2020</w:t>
      </w:r>
    </w:p>
    <w:p>
      <w:pPr>
        <w:spacing w:after="0" w:line="150"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Weather in the more highly concentrated geographic areas we serve for the nine months ended April 30, 2021 was approximately 2% warmer than normal, and 2% colder than the prior year period. We believe that this colder weather slightly increased retail gallons compared to the prior year.</w:t>
      </w:r>
    </w:p>
    <w:p>
      <w:pPr>
        <w:spacing w:after="0" w:line="115"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During the nine months ended April 30, 2021, we recognized net loss attributable to Ferrellgas Partners, L.P. of $49.6 million, compared to net loss attributable to Ferrellgas Partners, L.P. of $12.5 million during the nine months ended April 30, 2020. This increased loss reflects a $72.5 million increase in “Loss on extinguishment of debt”, a $12.3 million increase in “General and administrative expense” and $10.2 million of “Reorganization items, net” incurred only in fiscal 2021, partially offset by a $42.5 million increase in “Gross margin – Propane and other gas liquid sales” and a $15.4 million decrease in “Operating expenses – personnel, vehicle, plant and other”. “General and administrative expense” reflect the effects of legal fees and settlement related to non-core businesses of $8.6 million and $5.9 million during fiscal 2021 and fiscal 2020, respectively.</w:t>
      </w:r>
    </w:p>
    <w:p>
      <w:pPr>
        <w:spacing w:after="0" w:line="113"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Interest expense increased $10.1 million primarily due to the following April 2020 transactions: net additional borrowings related to the refinancing of our terminated senior secured credit facility with the issuance of $700.0 million principal amount of the 2025 Notes and, to a lesser extent, increased interest rates on the 2025 Notes, partially offset by an $11.6 million decrease in interest recognized on the Ferrellgas Partners Notes.</w:t>
      </w:r>
    </w:p>
    <w:p>
      <w:pPr>
        <w:spacing w:after="0" w:line="122"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Distributable cash flow excess increased to $134.1 million in the current period from $91.3 million in the prior year period, primarily due to a $55.2 million increase to our Adjusted EBITDA, partially offset by an $8.4 million increase in our net cash interest expense.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5" w:name="page76"/>
    <w:bookmarkEnd w:id="7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Results of Operations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00" w:type="dxa"/>
            <w:vAlign w:val="bottom"/>
            <w:vMerge w:val="restart"/>
          </w:tcPr>
          <w:p>
            <w:pPr>
              <w:spacing w:after="0"/>
              <w:rPr>
                <w:sz w:val="20"/>
                <w:szCs w:val="20"/>
                <w:color w:val="auto"/>
              </w:rPr>
            </w:pPr>
            <w:r>
              <w:rPr>
                <w:rFonts w:ascii="Arial" w:cs="Arial" w:eastAsia="Arial" w:hAnsi="Arial"/>
                <w:sz w:val="10"/>
                <w:szCs w:val="10"/>
                <w:b w:val="1"/>
                <w:bCs w:val="1"/>
                <w:i w:val="1"/>
                <w:iCs w:val="1"/>
                <w:color w:val="auto"/>
              </w:rPr>
              <w:t>(amounts in thousands)</w:t>
            </w:r>
          </w:p>
        </w:tc>
        <w:tc>
          <w:tcPr>
            <w:tcW w:w="200" w:type="dxa"/>
            <w:vAlign w:val="bottom"/>
          </w:tcPr>
          <w:p>
            <w:pPr>
              <w:spacing w:after="0"/>
              <w:rPr>
                <w:sz w:val="10"/>
                <w:szCs w:val="10"/>
                <w:color w:val="auto"/>
              </w:rPr>
            </w:pPr>
          </w:p>
        </w:tc>
        <w:tc>
          <w:tcPr>
            <w:tcW w:w="1820" w:type="dxa"/>
            <w:vAlign w:val="bottom"/>
            <w:gridSpan w:val="5"/>
          </w:tcPr>
          <w:p>
            <w:pPr>
              <w:ind w:left="120"/>
              <w:spacing w:after="0"/>
              <w:rPr>
                <w:sz w:val="20"/>
                <w:szCs w:val="20"/>
                <w:color w:val="auto"/>
              </w:rPr>
            </w:pPr>
            <w:r>
              <w:rPr>
                <w:rFonts w:ascii="Arial" w:cs="Arial" w:eastAsia="Arial" w:hAnsi="Arial"/>
                <w:sz w:val="10"/>
                <w:szCs w:val="10"/>
                <w:b w:val="1"/>
                <w:bCs w:val="1"/>
                <w:color w:val="auto"/>
              </w:rPr>
              <w:t>Three months ended April 30,</w:t>
            </w:r>
          </w:p>
        </w:tc>
        <w:tc>
          <w:tcPr>
            <w:tcW w:w="220" w:type="dxa"/>
            <w:vAlign w:val="bottom"/>
          </w:tcPr>
          <w:p>
            <w:pPr>
              <w:spacing w:after="0"/>
              <w:rPr>
                <w:sz w:val="10"/>
                <w:szCs w:val="10"/>
                <w:color w:val="auto"/>
              </w:rPr>
            </w:pPr>
          </w:p>
        </w:tc>
        <w:tc>
          <w:tcPr>
            <w:tcW w:w="1920" w:type="dxa"/>
            <w:vAlign w:val="bottom"/>
            <w:gridSpan w:val="5"/>
          </w:tcPr>
          <w:p>
            <w:pPr>
              <w:ind w:left="220"/>
              <w:spacing w:after="0"/>
              <w:rPr>
                <w:sz w:val="20"/>
                <w:szCs w:val="20"/>
                <w:color w:val="auto"/>
              </w:rPr>
            </w:pPr>
            <w:r>
              <w:rPr>
                <w:rFonts w:ascii="Arial" w:cs="Arial" w:eastAsia="Arial" w:hAnsi="Arial"/>
                <w:sz w:val="10"/>
                <w:szCs w:val="10"/>
                <w:b w:val="1"/>
                <w:bCs w:val="1"/>
                <w:color w:val="auto"/>
              </w:rPr>
              <w:t>Nine months ended April 30,</w:t>
            </w:r>
          </w:p>
        </w:tc>
        <w:tc>
          <w:tcPr>
            <w:tcW w:w="0" w:type="dxa"/>
            <w:vAlign w:val="bottom"/>
          </w:tcPr>
          <w:p>
            <w:pPr>
              <w:spacing w:after="0"/>
              <w:rPr>
                <w:sz w:val="1"/>
                <w:szCs w:val="1"/>
                <w:color w:val="auto"/>
              </w:rPr>
            </w:pPr>
          </w:p>
        </w:tc>
      </w:tr>
      <w:tr>
        <w:trPr>
          <w:trHeight w:val="88"/>
        </w:trPr>
        <w:tc>
          <w:tcPr>
            <w:tcW w:w="4800" w:type="dxa"/>
            <w:vAlign w:val="bottom"/>
            <w:tcBorders>
              <w:bottom w:val="single" w:sz="8" w:color="CCEEFF"/>
            </w:tcBorders>
            <w:vMerge w:val="continue"/>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81"/>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321"/>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1"/>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revenues</w:t>
            </w:r>
          </w:p>
        </w:tc>
        <w:tc>
          <w:tcPr>
            <w:tcW w:w="2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564,730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412,130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1,419,184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1,216,177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Total cost of sales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301,371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179,005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716,946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557,910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124,624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121,558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348,898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364,334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Depreciation and amortization expense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21,281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63,920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59,380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12,560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48,760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Equipment lease expense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6,770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8,075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20,462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Non-cash employee stock ownership plan compensation charge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Loss on asset sales and disposals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2,238</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income</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93,323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67,950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215,679</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164,958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(42,189)</w:t>
            </w:r>
          </w:p>
        </w:tc>
        <w:tc>
          <w:tcPr>
            <w:tcW w:w="2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(45,703)</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(149,010)</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(138,948)</w:t>
            </w: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(109,922)</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(37,399)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(109,922)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(37,399)</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(158)</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4,169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Reorganization expense - professional fees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(9,007)</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(10,207)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2"/>
                <w:szCs w:val="12"/>
                <w:color w:val="auto"/>
              </w:rPr>
              <w:t>Loss before income taxes</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(67,242)</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(15,310)</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(49,291)</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(11,603)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2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(67,435)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(15,471)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(49,897)</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(12,397)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2"/>
                <w:szCs w:val="12"/>
                <w:color w:val="auto"/>
              </w:rPr>
              <w:t>Net loss attributable to Ferrellgas Partners, L.P.</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(66,794)</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(15,393)</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(49,589)</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Distribution to preferred unitholders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Less: General partner's interest in net loss</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(748)</w:t>
            </w:r>
          </w:p>
        </w:tc>
        <w:tc>
          <w:tcPr>
            <w:tcW w:w="2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(154)</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(576)</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0"/>
        </w:trPr>
        <w:tc>
          <w:tcPr>
            <w:tcW w:w="48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Class A unitholders' interest in net loss</w:t>
            </w:r>
          </w:p>
        </w:tc>
        <w:tc>
          <w:tcPr>
            <w:tcW w:w="200" w:type="dxa"/>
            <w:vAlign w:val="bottom"/>
            <w:tcBorders>
              <w:top w:val="single" w:sz="8" w:color="auto"/>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(74,057)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(15,239)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(57,024)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(12,405)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In this Quarterly Report we present the following Non-GAAP financial measures: Adjusted EBITDA, Distributable cash flow attributable to equity investors, Distributable cash flow attributable to preferred and common unitholders, and Distributable cash flow excess.</w:t>
      </w:r>
    </w:p>
    <w:p>
      <w:pPr>
        <w:spacing w:after="0" w:line="115" w:lineRule="exact"/>
        <w:rPr>
          <w:sz w:val="20"/>
          <w:szCs w:val="20"/>
          <w:color w:val="auto"/>
        </w:rPr>
      </w:pPr>
    </w:p>
    <w:p>
      <w:pPr>
        <w:ind w:left="20" w:right="59"/>
        <w:spacing w:after="0" w:line="279" w:lineRule="auto"/>
        <w:rPr>
          <w:sz w:val="20"/>
          <w:szCs w:val="20"/>
          <w:color w:val="auto"/>
        </w:rPr>
      </w:pPr>
      <w:r>
        <w:rPr>
          <w:rFonts w:ascii="Arial" w:cs="Arial" w:eastAsia="Arial" w:hAnsi="Arial"/>
          <w:sz w:val="11"/>
          <w:szCs w:val="11"/>
          <w:i w:val="1"/>
          <w:iCs w:val="1"/>
          <w:color w:val="auto"/>
        </w:rPr>
        <w:t>Adjusted EBITDA</w:t>
      </w:r>
      <w:r>
        <w:rPr>
          <w:rFonts w:ascii="Arial" w:cs="Arial" w:eastAsia="Arial" w:hAnsi="Arial"/>
          <w:sz w:val="11"/>
          <w:szCs w:val="11"/>
          <w:color w:val="auto"/>
        </w:rPr>
        <w:t>. Adjusted EBITDA for Ferrellgas Partners is calculated as net loss attributable to Ferrellgas Partners, L.P., plus the sum of the following: income tax expense, interest</w:t>
      </w:r>
      <w:r>
        <w:rPr>
          <w:rFonts w:ascii="Arial" w:cs="Arial" w:eastAsia="Arial" w:hAnsi="Arial"/>
          <w:sz w:val="11"/>
          <w:szCs w:val="11"/>
          <w:i w:val="1"/>
          <w:iCs w:val="1"/>
          <w:color w:val="auto"/>
        </w:rPr>
        <w:t xml:space="preserve"> </w:t>
      </w:r>
      <w:r>
        <w:rPr>
          <w:rFonts w:ascii="Arial" w:cs="Arial" w:eastAsia="Arial" w:hAnsi="Arial"/>
          <w:sz w:val="11"/>
          <w:szCs w:val="11"/>
          <w:color w:val="auto"/>
        </w:rPr>
        <w:t>expense, depreciation and amortization expense, distribution to preferred unitholders, non-cash employee stock ownership plan compensation charge, loss on extinguishment of debt, loss on asset sales and disposals, other income (expense), net, reorganization expense – professional fees, severance costs, legal fees and settlements related to non-core businesses, provision for doubtful accounts related to non-core businesses, lease accounting standard adjustment and other and net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This method of calculating Adjusted EBITDA may not be comparable to Adjusted EBITDA or similarly titled measurements used by other companies. Items added into our calculation of Adjusted EBITDA that will not occur on a continuing basis may have associated cash payments. This method of calculating Adjusted EBITDA should be viewed in conjunction with measurements that are computed in accordance with GAAP.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6" w:name="page77"/>
    <w:bookmarkEnd w:id="7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59"/>
        <w:spacing w:after="0" w:line="316" w:lineRule="auto"/>
        <w:rPr>
          <w:sz w:val="20"/>
          <w:szCs w:val="20"/>
          <w:color w:val="auto"/>
        </w:rPr>
      </w:pPr>
      <w:r>
        <w:rPr>
          <w:rFonts w:ascii="Arial" w:cs="Arial" w:eastAsia="Arial" w:hAnsi="Arial"/>
          <w:sz w:val="10"/>
          <w:szCs w:val="10"/>
          <w:i w:val="1"/>
          <w:iCs w:val="1"/>
          <w:color w:val="auto"/>
        </w:rPr>
        <w:t>Distributable Cash Flow Attributable to Equity Investors</w:t>
      </w:r>
      <w:r>
        <w:rPr>
          <w:rFonts w:ascii="Arial" w:cs="Arial" w:eastAsia="Arial" w:hAnsi="Arial"/>
          <w:sz w:val="10"/>
          <w:szCs w:val="10"/>
          <w:color w:val="auto"/>
        </w:rPr>
        <w:t>. Distributable cash flow attributable to equity investors is calculated as Adjusted EBITDA minus net cash interest expense,</w:t>
      </w:r>
      <w:r>
        <w:rPr>
          <w:rFonts w:ascii="Arial" w:cs="Arial" w:eastAsia="Arial" w:hAnsi="Arial"/>
          <w:sz w:val="10"/>
          <w:szCs w:val="10"/>
          <w:i w:val="1"/>
          <w:iCs w:val="1"/>
          <w:color w:val="auto"/>
        </w:rPr>
        <w:t xml:space="preserve"> </w:t>
      </w:r>
      <w:r>
        <w:rPr>
          <w:rFonts w:ascii="Arial" w:cs="Arial" w:eastAsia="Arial" w:hAnsi="Arial"/>
          <w:sz w:val="10"/>
          <w:szCs w:val="10"/>
          <w:color w:val="auto"/>
        </w:rPr>
        <w:t>maintenance capital expenditures and cash paid for income taxes, plus proceeds from certain asset sales. Management considers distributable cash flow attributable to equity investors a meaningful measure of the partnership’s ability to declare and pay quarterly distributions to equity investors, including holders of the operating partnership’s Preferred Units. Distributable cash flow attributable to equity investors, as management defines it, may not be comparable to distributable cash flow attributable to equity investors or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100" w:lineRule="exact"/>
        <w:rPr>
          <w:sz w:val="20"/>
          <w:szCs w:val="20"/>
          <w:color w:val="auto"/>
        </w:rPr>
      </w:pPr>
    </w:p>
    <w:p>
      <w:pPr>
        <w:ind w:left="20" w:right="59"/>
        <w:spacing w:after="0" w:line="254" w:lineRule="auto"/>
        <w:rPr>
          <w:sz w:val="20"/>
          <w:szCs w:val="20"/>
          <w:color w:val="auto"/>
        </w:rPr>
      </w:pPr>
      <w:r>
        <w:rPr>
          <w:rFonts w:ascii="Arial" w:cs="Arial" w:eastAsia="Arial" w:hAnsi="Arial"/>
          <w:sz w:val="12"/>
          <w:szCs w:val="12"/>
          <w:i w:val="1"/>
          <w:iCs w:val="1"/>
          <w:color w:val="auto"/>
        </w:rPr>
        <w:t>Distributable Cash Flow Attributable to Common Unitholders</w:t>
      </w:r>
      <w:r>
        <w:rPr>
          <w:rFonts w:ascii="Arial" w:cs="Arial" w:eastAsia="Arial" w:hAnsi="Arial"/>
          <w:sz w:val="12"/>
          <w:szCs w:val="12"/>
          <w:color w:val="auto"/>
        </w:rPr>
        <w:t>. Distributable cash flow attributable to common unitholders is calculated as Distributable cash flow attributable to equity</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investors minus distributions accrued or paid on the Preferred Units and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companies. Items added into our calculation of distributable cash flow attributable to common unitholders that will not occur on a continuing basis may have associated cash payments. Distributable cash flow attributable to common unitholders should be viewed in conjunction with measurements that are computed in accordance with GAAP.</w:t>
      </w:r>
    </w:p>
    <w:p>
      <w:pPr>
        <w:spacing w:after="0" w:line="130"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i w:val="1"/>
          <w:iCs w:val="1"/>
          <w:color w:val="auto"/>
        </w:rPr>
        <w:t>Distributable Cash Flow Excess</w:t>
      </w:r>
      <w:r>
        <w:rPr>
          <w:rFonts w:ascii="Arial" w:cs="Arial" w:eastAsia="Arial" w:hAnsi="Arial"/>
          <w:sz w:val="11"/>
          <w:szCs w:val="11"/>
          <w:color w:val="auto"/>
        </w:rPr>
        <w:t>. Distributable cash flow excess is calculated as Distributable cash flow attributable to common unitholders minus Distributions paid to common</w:t>
      </w:r>
      <w:r>
        <w:rPr>
          <w:rFonts w:ascii="Arial" w:cs="Arial" w:eastAsia="Arial" w:hAnsi="Arial"/>
          <w:sz w:val="11"/>
          <w:szCs w:val="11"/>
          <w:i w:val="1"/>
          <w:iCs w:val="1"/>
          <w:color w:val="auto"/>
        </w:rPr>
        <w:t xml:space="preserve"> </w:t>
      </w:r>
      <w:r>
        <w:rPr>
          <w:rFonts w:ascii="Arial" w:cs="Arial" w:eastAsia="Arial" w:hAnsi="Arial"/>
          <w:sz w:val="11"/>
          <w:szCs w:val="11"/>
          <w:color w:val="auto"/>
        </w:rPr>
        <w:t>unitholders. Distributable cash flow excess, if any, is retained to establish reserves to reduce debt, fund capital expenditures and for other partnership purposes and any shortage is funded from previously established reserves, cash on hand or borrowings under our accounts receivable securitization facility. Management considers Distributable cash flow excess a meaningful measure of the partnership’s ability to effectuate those purposes. Distributable cash flow excess, as management defines it, may not be comparable to distributable cash flow excess or similarly titled measurements used by other companies.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7" w:name="page78"/>
    <w:bookmarkEnd w:id="7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79"/>
        <w:spacing w:after="0" w:line="323" w:lineRule="auto"/>
        <w:rPr>
          <w:sz w:val="20"/>
          <w:szCs w:val="20"/>
          <w:color w:val="auto"/>
        </w:rPr>
      </w:pPr>
      <w:r>
        <w:rPr>
          <w:rFonts w:ascii="Arial" w:cs="Arial" w:eastAsia="Arial" w:hAnsi="Arial"/>
          <w:sz w:val="11"/>
          <w:szCs w:val="11"/>
          <w:color w:val="auto"/>
        </w:rPr>
        <w:t>The following table reconciles Adjusted EBITDA, Distributable cash flow attributable to equity investors, Distributable cash flow attributable to common unitholders and Distributable cash flow excess to Net loss attributable to Ferrellgas Partners, L.P., the most directly comparable GAAP measure, for the three and nine months ended April 30, 2021 and 2020:</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i w:val="1"/>
                <w:iCs w:val="1"/>
                <w:color w:val="auto"/>
              </w:rPr>
              <w:t>(amounts in thousands)</w:t>
            </w:r>
          </w:p>
        </w:tc>
        <w:tc>
          <w:tcPr>
            <w:tcW w:w="80" w:type="dxa"/>
            <w:vAlign w:val="bottom"/>
          </w:tcPr>
          <w:p>
            <w:pPr>
              <w:spacing w:after="0"/>
              <w:rPr>
                <w:sz w:val="10"/>
                <w:szCs w:val="10"/>
                <w:color w:val="auto"/>
              </w:rPr>
            </w:pPr>
          </w:p>
        </w:tc>
        <w:tc>
          <w:tcPr>
            <w:tcW w:w="1840" w:type="dxa"/>
            <w:vAlign w:val="bottom"/>
            <w:gridSpan w:val="5"/>
          </w:tcPr>
          <w:p>
            <w:pPr>
              <w:ind w:left="200"/>
              <w:spacing w:after="0"/>
              <w:rPr>
                <w:sz w:val="20"/>
                <w:szCs w:val="20"/>
                <w:color w:val="auto"/>
              </w:rPr>
            </w:pPr>
            <w:r>
              <w:rPr>
                <w:rFonts w:ascii="Arial" w:cs="Arial" w:eastAsia="Arial" w:hAnsi="Arial"/>
                <w:sz w:val="10"/>
                <w:szCs w:val="10"/>
                <w:b w:val="1"/>
                <w:bCs w:val="1"/>
                <w:color w:val="auto"/>
              </w:rPr>
              <w:t>Three months ended April 30,</w:t>
            </w:r>
          </w:p>
        </w:tc>
        <w:tc>
          <w:tcPr>
            <w:tcW w:w="80" w:type="dxa"/>
            <w:vAlign w:val="bottom"/>
          </w:tcPr>
          <w:p>
            <w:pPr>
              <w:spacing w:after="0"/>
              <w:rPr>
                <w:sz w:val="10"/>
                <w:szCs w:val="10"/>
                <w:color w:val="auto"/>
              </w:rPr>
            </w:pPr>
          </w:p>
        </w:tc>
        <w:tc>
          <w:tcPr>
            <w:tcW w:w="178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Nine months ended April 30,</w:t>
            </w:r>
          </w:p>
        </w:tc>
        <w:tc>
          <w:tcPr>
            <w:tcW w:w="0" w:type="dxa"/>
            <w:vAlign w:val="bottom"/>
          </w:tcPr>
          <w:p>
            <w:pPr>
              <w:spacing w:after="0"/>
              <w:rPr>
                <w:sz w:val="1"/>
                <w:szCs w:val="1"/>
                <w:color w:val="auto"/>
              </w:rPr>
            </w:pPr>
          </w:p>
        </w:tc>
      </w:tr>
      <w:tr>
        <w:trPr>
          <w:trHeight w:val="88"/>
        </w:trPr>
        <w:tc>
          <w:tcPr>
            <w:tcW w:w="5180" w:type="dxa"/>
            <w:vAlign w:val="bottom"/>
            <w:tcBorders>
              <w:bottom w:val="single" w:sz="8" w:color="CCEEFF"/>
            </w:tcBorders>
            <w:gridSpan w:val="2"/>
            <w:vMerge w:val="continue"/>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ind w:right="300"/>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281"/>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00"/>
              <w:spacing w:after="0" w:line="88"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3"/>
        </w:trPr>
        <w:tc>
          <w:tcPr>
            <w:tcW w:w="51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loss attributable to Ferrellgas Partners, L.P.</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(66,794)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(15,393)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(49,589)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(12,530)</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Income tax expense</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794</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138,948</w:t>
            </w:r>
          </w:p>
        </w:tc>
        <w:tc>
          <w:tcPr>
            <w:tcW w:w="0" w:type="dxa"/>
            <w:vAlign w:val="bottom"/>
          </w:tcPr>
          <w:p>
            <w:pPr>
              <w:spacing w:after="0"/>
              <w:rPr>
                <w:sz w:val="1"/>
                <w:szCs w:val="1"/>
                <w:color w:val="auto"/>
              </w:rPr>
            </w:pPr>
          </w:p>
        </w:tc>
      </w:tr>
      <w:tr>
        <w:trPr>
          <w:trHeight w:val="144"/>
        </w:trPr>
        <w:tc>
          <w:tcPr>
            <w:tcW w:w="5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Depreciation and amortization expense</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21,281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63,920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59,380</w:t>
            </w:r>
          </w:p>
        </w:tc>
        <w:tc>
          <w:tcPr>
            <w:tcW w:w="0" w:type="dxa"/>
            <w:vAlign w:val="bottom"/>
          </w:tcPr>
          <w:p>
            <w:pPr>
              <w:spacing w:after="0"/>
              <w:rPr>
                <w:sz w:val="1"/>
                <w:szCs w:val="1"/>
                <w:color w:val="auto"/>
              </w:rPr>
            </w:pPr>
          </w:p>
        </w:tc>
      </w:tr>
      <w:tr>
        <w:trPr>
          <w:trHeight w:val="133"/>
        </w:trPr>
        <w:tc>
          <w:tcPr>
            <w:tcW w:w="51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EBITDA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50,837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163,947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186,592</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Non-cash employee stock ownership plan compensation charge</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2,182</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Loss on extinguishment of debt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37,399</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Loss on asset sales and disposals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6,242</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Other income (expense),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(4,169)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Reorganization expense - professional fees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10,207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Severance costs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Legal fees and settlements related to non-core businesses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5,887</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Recovery of doubtful accounts related to non-core businesses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180" w:type="dxa"/>
            <w:vAlign w:val="bottom"/>
            <w:gridSpan w:val="2"/>
          </w:tcPr>
          <w:p>
            <w:pPr>
              <w:ind w:left="140"/>
              <w:spacing w:after="0"/>
              <w:rPr>
                <w:sz w:val="20"/>
                <w:szCs w:val="20"/>
                <w:color w:val="auto"/>
              </w:rPr>
            </w:pPr>
            <w:r>
              <w:rPr>
                <w:rFonts w:ascii="Arial" w:cs="Arial" w:eastAsia="Arial" w:hAnsi="Arial"/>
                <w:sz w:val="12"/>
                <w:szCs w:val="12"/>
                <w:color w:val="auto"/>
              </w:rPr>
              <w:t>Lease accounting standard adjustment and other</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loss attributable to noncontrolling interest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3"/>
        </w:trPr>
        <w:tc>
          <w:tcPr>
            <w:tcW w:w="5180" w:type="dxa"/>
            <w:vAlign w:val="bottom"/>
            <w:gridSpan w:val="2"/>
          </w:tcPr>
          <w:p>
            <w:pPr>
              <w:spacing w:after="0" w:line="133" w:lineRule="exact"/>
              <w:rPr>
                <w:sz w:val="20"/>
                <w:szCs w:val="20"/>
                <w:color w:val="auto"/>
              </w:rPr>
            </w:pPr>
            <w:r>
              <w:rPr>
                <w:rFonts w:ascii="Arial" w:cs="Arial" w:eastAsia="Arial" w:hAnsi="Arial"/>
                <w:sz w:val="12"/>
                <w:szCs w:val="12"/>
                <w:color w:val="auto"/>
              </w:rPr>
              <w:t>Adjusted EBITDA</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119,196</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92,337</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293,951</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238,783</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interest expense (a)</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(37,757)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(43,442)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(137,716)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(129,341)</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2"/>
                <w:szCs w:val="12"/>
                <w:color w:val="auto"/>
              </w:rPr>
              <w:t>Maintenance capital expenditures (b)</w:t>
            </w: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(4,058)</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(6,803)</w:t>
            </w: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(14,517)</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(18,700)</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paid for income taxes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Proceeds from certain asset sales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2,510</w:t>
            </w:r>
          </w:p>
        </w:tc>
        <w:tc>
          <w:tcPr>
            <w:tcW w:w="0" w:type="dxa"/>
            <w:vAlign w:val="bottom"/>
          </w:tcPr>
          <w:p>
            <w:pPr>
              <w:spacing w:after="0"/>
              <w:rPr>
                <w:sz w:val="1"/>
                <w:szCs w:val="1"/>
                <w:color w:val="auto"/>
              </w:rPr>
            </w:pPr>
          </w:p>
        </w:tc>
      </w:tr>
      <w:tr>
        <w:trPr>
          <w:trHeight w:val="133"/>
        </w:trPr>
        <w:tc>
          <w:tcPr>
            <w:tcW w:w="51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Distributable cash flow attributable to equity investors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78,518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42,894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144,987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93,202</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2"/>
                <w:szCs w:val="12"/>
                <w:color w:val="auto"/>
              </w:rPr>
              <w:t>Less: Distributions accrued or paid to preferred unitholders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8,011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Distributable cash flow attributable to general partner and non-controlling interest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w:t>
            </w:r>
          </w:p>
        </w:tc>
        <w:tc>
          <w:tcPr>
            <w:tcW w:w="0" w:type="dxa"/>
            <w:vAlign w:val="bottom"/>
          </w:tcPr>
          <w:p>
            <w:pPr>
              <w:spacing w:after="0"/>
              <w:rPr>
                <w:sz w:val="1"/>
                <w:szCs w:val="1"/>
                <w:color w:val="auto"/>
              </w:rPr>
            </w:pPr>
          </w:p>
        </w:tc>
      </w:tr>
      <w:tr>
        <w:trPr>
          <w:trHeight w:val="133"/>
        </w:trPr>
        <w:tc>
          <w:tcPr>
            <w:tcW w:w="5180" w:type="dxa"/>
            <w:vAlign w:val="bottom"/>
            <w:gridSpan w:val="2"/>
          </w:tcPr>
          <w:p>
            <w:pPr>
              <w:spacing w:after="0" w:line="133" w:lineRule="exact"/>
              <w:rPr>
                <w:sz w:val="20"/>
                <w:szCs w:val="20"/>
                <w:color w:val="auto"/>
              </w:rPr>
            </w:pPr>
            <w:r>
              <w:rPr>
                <w:rFonts w:ascii="Arial" w:cs="Arial" w:eastAsia="Arial" w:hAnsi="Arial"/>
                <w:sz w:val="12"/>
                <w:szCs w:val="12"/>
                <w:color w:val="auto"/>
              </w:rPr>
              <w:t>Distributable cash flow attributable to Class A and B unitholders</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68,936</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42,036</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134,076</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91,338</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Distributions accrued or paid to Class A and B unitholders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5180" w:type="dxa"/>
            <w:vAlign w:val="bottom"/>
            <w:gridSpan w:val="2"/>
          </w:tcPr>
          <w:p>
            <w:pPr>
              <w:spacing w:after="0" w:line="133" w:lineRule="exact"/>
              <w:rPr>
                <w:sz w:val="20"/>
                <w:szCs w:val="20"/>
                <w:color w:val="auto"/>
              </w:rPr>
            </w:pPr>
            <w:r>
              <w:rPr>
                <w:rFonts w:ascii="Arial" w:cs="Arial" w:eastAsia="Arial" w:hAnsi="Arial"/>
                <w:sz w:val="12"/>
                <w:szCs w:val="12"/>
                <w:color w:val="auto"/>
              </w:rPr>
              <w:t>Distributable cash flow excess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68,936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42,036</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134,076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91,338</w:t>
            </w: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2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right="539" w:hanging="218"/>
        <w:spacing w:after="0" w:line="258" w:lineRule="auto"/>
        <w:tabs>
          <w:tab w:leader="none" w:pos="2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Net cash interest expense is the sum of interest expense less non-cash interest expense and other income (expense), net. This amount includes interest expense related to the terminated accounts receivable securitization facility.</w:t>
      </w:r>
    </w:p>
    <w:p>
      <w:pPr>
        <w:ind w:left="240" w:right="159" w:hanging="218"/>
        <w:spacing w:after="0" w:line="260" w:lineRule="auto"/>
        <w:tabs>
          <w:tab w:leader="none" w:pos="2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Maintenance capital expenditures include capitalized expenditures for betterment and replacement of property, plant and equipment, and may include the purchase of assets that are typically leased.</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8" w:name="page79"/>
    <w:bookmarkEnd w:id="7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Results for the three months ended April 30, 2021 and 2020</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summarizes propane sales volumes and Adjusted EBITDA results for the periods indicated: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Borders>
              <w:bottom w:val="single" w:sz="8" w:color="CCEEFF"/>
            </w:tcBorders>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0"/>
              </w:rPr>
              <w:t>Increase (Decrease)</w:t>
            </w: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33"/>
        </w:trPr>
        <w:tc>
          <w:tcPr>
            <w:tcW w:w="56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As of April 30,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Retail customers</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721,562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727,863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(6,301)</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Tank exchange selling locations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62,372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58,245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2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99"/>
        </w:trPr>
        <w:tc>
          <w:tcPr>
            <w:tcW w:w="56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b w:val="1"/>
                <w:bCs w:val="1"/>
                <w:i w:val="1"/>
                <w:iCs w:val="1"/>
                <w:color w:val="auto"/>
              </w:rPr>
              <w:t>(amounts in thousands)</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08"/>
        </w:trPr>
        <w:tc>
          <w:tcPr>
            <w:tcW w:w="568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Three months ended April 30,</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Propane sales volumes (gallons):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Retail - Sales to End Users</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200,028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186,175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13,853</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Wholesale - Sales to Resellers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60,128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33"/>
        </w:trPr>
        <w:tc>
          <w:tcPr>
            <w:tcW w:w="2240" w:type="dxa"/>
            <w:vAlign w:val="bottom"/>
            <w:tcBorders>
              <w:bottom w:val="single" w:sz="8" w:color="CCEEFF"/>
            </w:tcBorders>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260,156</w:t>
            </w: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246,835</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13,321</w:t>
            </w:r>
          </w:p>
        </w:tc>
        <w:tc>
          <w:tcPr>
            <w:tcW w:w="2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gridSpan w:val="2"/>
          </w:tcPr>
          <w:p>
            <w:pPr>
              <w:jc w:val="right"/>
              <w:spacing w:after="0" w:line="133" w:lineRule="exact"/>
              <w:rPr>
                <w:sz w:val="20"/>
                <w:szCs w:val="20"/>
                <w:color w:val="auto"/>
              </w:rPr>
            </w:pPr>
            <w:r>
              <w:rPr>
                <w:rFonts w:ascii="Arial" w:cs="Arial" w:eastAsia="Arial" w:hAnsi="Arial"/>
                <w:sz w:val="12"/>
                <w:szCs w:val="12"/>
                <w:color w:val="auto"/>
              </w:rPr>
              <w:t>5 %</w:t>
            </w:r>
          </w:p>
        </w:tc>
      </w:tr>
      <w:tr>
        <w:trPr>
          <w:trHeight w:val="133"/>
        </w:trPr>
        <w:tc>
          <w:tcPr>
            <w:tcW w:w="56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Revenues -</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Propane and other gas liquids sales: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Retail - Sales to End Users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392,838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286,163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106,675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tcPr>
          <w:p>
            <w:pPr>
              <w:ind w:left="60"/>
              <w:spacing w:after="0"/>
              <w:rPr>
                <w:sz w:val="20"/>
                <w:szCs w:val="20"/>
                <w:color w:val="auto"/>
              </w:rPr>
            </w:pPr>
            <w:r>
              <w:rPr>
                <w:rFonts w:ascii="Arial" w:cs="Arial" w:eastAsia="Arial" w:hAnsi="Arial"/>
                <w:sz w:val="12"/>
                <w:szCs w:val="12"/>
                <w:color w:val="auto"/>
              </w:rPr>
              <w:t>Wholesale - Sales to Resellers</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140,015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103,686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36,329</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35</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Other Gas Sales (a)</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384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Other (b)</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22,694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20,385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2,309</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133"/>
        </w:trPr>
        <w:tc>
          <w:tcPr>
            <w:tcW w:w="56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Propane and related equipment revenues</w:t>
            </w:r>
          </w:p>
        </w:tc>
        <w:tc>
          <w:tcPr>
            <w:tcW w:w="2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564,730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412,130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152,600</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37</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2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Margin -</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Propane and other gas liquids sales gross margin: (c)</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Retail - Sales to End Users (a)</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163,038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tcPr>
          <w:p>
            <w:pPr>
              <w:ind w:left="60"/>
              <w:spacing w:after="0"/>
              <w:rPr>
                <w:sz w:val="20"/>
                <w:szCs w:val="20"/>
                <w:color w:val="auto"/>
              </w:rPr>
            </w:pPr>
            <w:r>
              <w:rPr>
                <w:rFonts w:ascii="Arial" w:cs="Arial" w:eastAsia="Arial" w:hAnsi="Arial"/>
                <w:sz w:val="12"/>
                <w:szCs w:val="12"/>
                <w:color w:val="auto"/>
              </w:rPr>
              <w:t>Wholesale - Sales to Resellers (a)</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62,650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52,442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10,208</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(b)</w:t>
            </w: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19,709</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17,645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33"/>
        </w:trPr>
        <w:tc>
          <w:tcPr>
            <w:tcW w:w="5680" w:type="dxa"/>
            <w:vAlign w:val="bottom"/>
            <w:gridSpan w:val="2"/>
          </w:tcPr>
          <w:p>
            <w:pPr>
              <w:spacing w:after="0" w:line="133" w:lineRule="exact"/>
              <w:rPr>
                <w:sz w:val="20"/>
                <w:szCs w:val="20"/>
                <w:color w:val="auto"/>
              </w:rPr>
            </w:pPr>
            <w:r>
              <w:rPr>
                <w:rFonts w:ascii="Arial" w:cs="Arial" w:eastAsia="Arial" w:hAnsi="Arial"/>
                <w:sz w:val="12"/>
                <w:szCs w:val="12"/>
                <w:color w:val="auto"/>
              </w:rPr>
              <w:t>Propane and related equipment gross profit</w:t>
            </w:r>
          </w:p>
        </w:tc>
        <w:tc>
          <w:tcPr>
            <w:tcW w:w="200" w:type="dxa"/>
            <w:vAlign w:val="bottom"/>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263,359</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233,125</w:t>
            </w:r>
          </w:p>
        </w:tc>
        <w:tc>
          <w:tcPr>
            <w:tcW w:w="80" w:type="dxa"/>
            <w:vAlign w:val="bottom"/>
          </w:tcPr>
          <w:p>
            <w:pPr>
              <w:spacing w:after="0"/>
              <w:rPr>
                <w:sz w:val="11"/>
                <w:szCs w:val="11"/>
                <w:color w:val="auto"/>
              </w:rPr>
            </w:pPr>
          </w:p>
        </w:tc>
        <w:tc>
          <w:tcPr>
            <w:tcW w:w="180" w:type="dxa"/>
            <w:vAlign w:val="bottom"/>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30,234</w:t>
            </w:r>
          </w:p>
        </w:tc>
        <w:tc>
          <w:tcPr>
            <w:tcW w:w="240" w:type="dxa"/>
            <w:vAlign w:val="bottom"/>
          </w:tcPr>
          <w:p>
            <w:pPr>
              <w:spacing w:after="0"/>
              <w:rPr>
                <w:sz w:val="11"/>
                <w:szCs w:val="11"/>
                <w:color w:val="auto"/>
              </w:rPr>
            </w:pPr>
          </w:p>
        </w:tc>
        <w:tc>
          <w:tcPr>
            <w:tcW w:w="24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22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Operating, general and administrative expense (d)</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139,829</w:t>
            </w: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134,118</w:t>
            </w:r>
          </w:p>
        </w:tc>
        <w:tc>
          <w:tcPr>
            <w:tcW w:w="8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5,711</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4</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 - equipment lease expense</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(16)%</w:t>
            </w:r>
          </w:p>
        </w:tc>
      </w:tr>
      <w:tr>
        <w:trPr>
          <w:trHeight w:val="144"/>
        </w:trPr>
        <w:tc>
          <w:tcPr>
            <w:tcW w:w="2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25,373</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37 %</w:t>
            </w:r>
          </w:p>
        </w:tc>
      </w:tr>
      <w:tr>
        <w:trPr>
          <w:trHeight w:val="144"/>
        </w:trPr>
        <w:tc>
          <w:tcPr>
            <w:tcW w:w="2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expense</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Non-cash employee stock ownership plan compensation charge</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w:t>
            </w:r>
          </w:p>
        </w:tc>
        <w:tc>
          <w:tcPr>
            <w:tcW w:w="24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7 %</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asset sales and disposals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(28)%</w:t>
            </w:r>
          </w:p>
        </w:tc>
      </w:tr>
      <w:tr>
        <w:trPr>
          <w:trHeight w:val="144"/>
        </w:trPr>
        <w:tc>
          <w:tcPr>
            <w:tcW w:w="5680" w:type="dxa"/>
            <w:vAlign w:val="bottom"/>
            <w:gridSpan w:val="2"/>
          </w:tcPr>
          <w:p>
            <w:pPr>
              <w:spacing w:after="0"/>
              <w:rPr>
                <w:sz w:val="20"/>
                <w:szCs w:val="20"/>
                <w:color w:val="auto"/>
              </w:rPr>
            </w:pPr>
            <w:r>
              <w:rPr>
                <w:rFonts w:ascii="Arial" w:cs="Arial" w:eastAsia="Arial" w:hAnsi="Arial"/>
                <w:sz w:val="12"/>
                <w:szCs w:val="12"/>
                <w:color w:val="auto"/>
              </w:rPr>
              <w:t>Legal fees and settlements related to non-core businesses</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1,111</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84</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Lease accounting standard adjustment and other (e)</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NM</w:t>
            </w:r>
          </w:p>
        </w:tc>
        <w:tc>
          <w:tcPr>
            <w:tcW w:w="160" w:type="dxa"/>
            <w:vAlign w:val="bottom"/>
            <w:shd w:val="clear" w:color="auto" w:fill="CCEEFF"/>
          </w:tcPr>
          <w:p>
            <w:pPr>
              <w:spacing w:after="0"/>
              <w:rPr>
                <w:sz w:val="12"/>
                <w:szCs w:val="12"/>
                <w:color w:val="auto"/>
              </w:rPr>
            </w:pPr>
          </w:p>
        </w:tc>
      </w:tr>
      <w:tr>
        <w:trPr>
          <w:trHeight w:val="140"/>
        </w:trPr>
        <w:tc>
          <w:tcPr>
            <w:tcW w:w="5680" w:type="dxa"/>
            <w:vAlign w:val="bottom"/>
            <w:gridSpan w:val="2"/>
          </w:tcPr>
          <w:p>
            <w:pPr>
              <w:spacing w:after="0" w:line="133" w:lineRule="exact"/>
              <w:rPr>
                <w:sz w:val="20"/>
                <w:szCs w:val="20"/>
                <w:color w:val="auto"/>
              </w:rPr>
            </w:pPr>
            <w:r>
              <w:rPr>
                <w:rFonts w:ascii="Arial" w:cs="Arial" w:eastAsia="Arial" w:hAnsi="Arial"/>
                <w:sz w:val="12"/>
                <w:szCs w:val="12"/>
                <w:color w:val="auto"/>
              </w:rPr>
              <w:t>Adjusted EBITDA</w:t>
            </w: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119,196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92,337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26,859</w:t>
            </w:r>
          </w:p>
        </w:tc>
        <w:tc>
          <w:tcPr>
            <w:tcW w:w="240" w:type="dxa"/>
            <w:vAlign w:val="bottom"/>
          </w:tcPr>
          <w:p>
            <w:pPr>
              <w:spacing w:after="0"/>
              <w:rPr>
                <w:sz w:val="12"/>
                <w:szCs w:val="12"/>
                <w:color w:val="auto"/>
              </w:rPr>
            </w:pPr>
          </w:p>
        </w:tc>
        <w:tc>
          <w:tcPr>
            <w:tcW w:w="4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29 %</w:t>
            </w:r>
          </w:p>
        </w:tc>
      </w:tr>
      <w:tr>
        <w:trPr>
          <w:trHeight w:val="72"/>
        </w:trPr>
        <w:tc>
          <w:tcPr>
            <w:tcW w:w="2240" w:type="dxa"/>
            <w:vAlign w:val="bottom"/>
            <w:tcBorders>
              <w:bottom w:val="single" w:sz="8" w:color="auto"/>
            </w:tcBorders>
          </w:tcPr>
          <w:p>
            <w:pPr>
              <w:spacing w:after="0"/>
              <w:rPr>
                <w:sz w:val="6"/>
                <w:szCs w:val="6"/>
                <w:color w:val="auto"/>
              </w:rPr>
            </w:pPr>
          </w:p>
        </w:tc>
        <w:tc>
          <w:tcPr>
            <w:tcW w:w="3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45" w:lineRule="exact"/>
        <w:rPr>
          <w:sz w:val="20"/>
          <w:szCs w:val="20"/>
          <w:color w:val="auto"/>
        </w:rPr>
      </w:pPr>
    </w:p>
    <w:p>
      <w:pPr>
        <w:ind w:left="20"/>
        <w:spacing w:after="0"/>
        <w:rPr>
          <w:sz w:val="20"/>
          <w:szCs w:val="20"/>
          <w:color w:val="auto"/>
        </w:rPr>
      </w:pPr>
      <w:r>
        <w:rPr>
          <w:rFonts w:ascii="Arial" w:cs="Arial" w:eastAsia="Arial" w:hAnsi="Arial"/>
          <w:sz w:val="12"/>
          <w:szCs w:val="12"/>
          <w:color w:val="auto"/>
        </w:rPr>
        <w:t>NM – Not meaningful</w:t>
      </w:r>
    </w:p>
    <w:p>
      <w:pPr>
        <w:spacing w:after="0" w:line="15" w:lineRule="exact"/>
        <w:rPr>
          <w:sz w:val="20"/>
          <w:szCs w:val="20"/>
          <w:color w:val="auto"/>
        </w:rPr>
      </w:pPr>
    </w:p>
    <w:p>
      <w:pPr>
        <w:ind w:left="240" w:hanging="218"/>
        <w:spacing w:after="0"/>
        <w:tabs>
          <w:tab w:leader="none" w:pos="240" w:val="left"/>
        </w:tabs>
        <w:numPr>
          <w:ilvl w:val="0"/>
          <w:numId w:val="57"/>
        </w:numPr>
        <w:rPr>
          <w:rFonts w:ascii="Arial" w:cs="Arial" w:eastAsia="Arial" w:hAnsi="Arial"/>
          <w:sz w:val="10"/>
          <w:szCs w:val="10"/>
          <w:color w:val="auto"/>
        </w:rPr>
      </w:pPr>
      <w:r>
        <w:rPr>
          <w:rFonts w:ascii="Arial" w:cs="Arial" w:eastAsia="Arial" w:hAnsi="Arial"/>
          <w:sz w:val="10"/>
          <w:szCs w:val="10"/>
          <w:color w:val="auto"/>
        </w:rPr>
        <w:t>Gross margin for Other Gas Sales is allocated to Gross margin "Retail - Sales to End Users" and "Wholesale - Sales to Resellers" based on the volumes in each respective category.</w:t>
      </w:r>
    </w:p>
    <w:p>
      <w:pPr>
        <w:spacing w:after="0" w:line="29" w:lineRule="exact"/>
        <w:rPr>
          <w:rFonts w:ascii="Arial" w:cs="Arial" w:eastAsia="Arial" w:hAnsi="Arial"/>
          <w:sz w:val="10"/>
          <w:szCs w:val="10"/>
          <w:color w:val="auto"/>
        </w:rPr>
      </w:pPr>
    </w:p>
    <w:p>
      <w:pPr>
        <w:ind w:left="240" w:hanging="218"/>
        <w:spacing w:after="0"/>
        <w:tabs>
          <w:tab w:leader="none" w:pos="2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Other primarily includes various customer fee income and to a lesser extent appliance and material sales.</w:t>
      </w:r>
    </w:p>
    <w:p>
      <w:pPr>
        <w:spacing w:after="0" w:line="6" w:lineRule="exact"/>
        <w:rPr>
          <w:rFonts w:ascii="Arial" w:cs="Arial" w:eastAsia="Arial" w:hAnsi="Arial"/>
          <w:sz w:val="12"/>
          <w:szCs w:val="12"/>
          <w:color w:val="auto"/>
        </w:rPr>
      </w:pPr>
    </w:p>
    <w:p>
      <w:pPr>
        <w:ind w:left="240" w:right="239" w:hanging="218"/>
        <w:spacing w:after="0" w:line="250" w:lineRule="auto"/>
        <w:tabs>
          <w:tab w:leader="none" w:pos="2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Gross margin from "Propane and other gas liquids sales" represents "Revenues - Propane and other gas liquids sales" less "Cost of sales - Propane and other gas liquids sales" and does not include depreciation and amortization.</w:t>
      </w:r>
    </w:p>
    <w:p>
      <w:pPr>
        <w:ind w:left="240" w:right="299" w:hanging="218"/>
        <w:spacing w:after="0" w:line="250" w:lineRule="auto"/>
        <w:tabs>
          <w:tab w:leader="none" w:pos="2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Operating, general and administrative expense” above includes both the “Operating expense – personnel, vehicle, plant and other” and the “General and administrative expense” captions in the condensed consolidated statement of operations.</w:t>
      </w:r>
    </w:p>
    <w:p>
      <w:pPr>
        <w:ind w:left="240" w:hanging="218"/>
        <w:spacing w:after="0"/>
        <w:tabs>
          <w:tab w:leader="none" w:pos="2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Lease accounting standard adjustment and other reflects the additional expense recognized in excess of cash paid.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9" w:name="page80"/>
    <w:bookmarkEnd w:id="7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119"/>
        <w:spacing w:after="0" w:line="320" w:lineRule="auto"/>
        <w:rPr>
          <w:sz w:val="20"/>
          <w:szCs w:val="20"/>
          <w:color w:val="auto"/>
        </w:rPr>
      </w:pPr>
      <w:r>
        <w:rPr>
          <w:rFonts w:ascii="Arial" w:cs="Arial" w:eastAsia="Arial" w:hAnsi="Arial"/>
          <w:sz w:val="10"/>
          <w:szCs w:val="10"/>
          <w:color w:val="auto"/>
        </w:rPr>
        <w:t>Propane sales volumes during the three months ended April 30, 2021 increased 5%, or 13.3 million gallons, from the prior year period due to increased sales volumes to retail customers and to a lesser extent increased sales volumes to tank exchange customers, tempered by the impacts of industrial commercial downtime due to closures related to the extreme cold felt in February 2021. Weather in the more highly concentrated geographic areas we serve for the three months ended April 30, 2021 was approximately 3% colder than normal, and 8% colder than the prior year period. A sustained and widespread cooler weather pattern during the month of February where average temperatures were 15% colder than normal and 18% colder than February 2020 contributed to an increase in heat-related demand and volumes sold. We believe that this colder weather increased retail gallons compared to the prior year.</w:t>
      </w:r>
    </w:p>
    <w:p>
      <w:pPr>
        <w:spacing w:after="0" w:line="97"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Our wholesale sales price per gallon partially correlates to the change in the wholesale market price of propane. The wholesale market price at major supply points in Mt. Belvieu, Texas during the three months ended April 30, 2021 averaged 162% more than the prior year period, while at the Conway, Kansas major supply point prices averaged 175% more than the prior year period. The wholesale market price at Mt. Belvieu, Texas averaged $0.89 and $0.34 per gallon during the three months ended April 30, 2021 and 2020, respectively, while the wholesale market price at Conway, Kansas averaged $0.88 and $0.32 per gallon during the three months ended April 30, 2021 and 2020, respectively. This increase in the wholesale cost of propane contributed to our increase in sales price per gallon and therefore revenues.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Revenues</w:t>
      </w:r>
    </w:p>
    <w:p>
      <w:pPr>
        <w:spacing w:after="0" w:line="150"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Retail sales increased $106.7 million compared to the prior year period. This increase resulted from an $85.4 million increase in sales price per gallon and a $21.3 million increase in sales volume, both as discussed above.</w:t>
      </w:r>
    </w:p>
    <w:p>
      <w:pPr>
        <w:spacing w:after="0" w:line="115"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Wholesale sales increased $36.3 million compared to the prior year period. The increase in sales was primarily due to an increase in sales price per gallon and the increases in tank exchange sales volumes, both as discussed above.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gas sales increased $7.3 million compared to the prior year period primarily due to an increase in sales price per gallon.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revenues increased $2.3 million compared to the prior year period primarily due to increased miscellaneous fees billed to customers and increased tank rental income.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Gross margin - Propane and other gas liquids sales</w:t>
      </w:r>
    </w:p>
    <w:p>
      <w:pPr>
        <w:spacing w:after="0" w:line="150" w:lineRule="exact"/>
        <w:rPr>
          <w:sz w:val="20"/>
          <w:szCs w:val="20"/>
          <w:color w:val="auto"/>
        </w:rPr>
      </w:pPr>
    </w:p>
    <w:p>
      <w:pPr>
        <w:jc w:val="both"/>
        <w:ind w:left="20" w:right="219"/>
        <w:spacing w:after="0" w:line="298" w:lineRule="auto"/>
        <w:rPr>
          <w:sz w:val="20"/>
          <w:szCs w:val="20"/>
          <w:color w:val="auto"/>
        </w:rPr>
      </w:pPr>
      <w:r>
        <w:rPr>
          <w:rFonts w:ascii="Arial" w:cs="Arial" w:eastAsia="Arial" w:hAnsi="Arial"/>
          <w:sz w:val="11"/>
          <w:szCs w:val="11"/>
          <w:color w:val="auto"/>
        </w:rPr>
        <w:t>Gross margin increased $28.2 million primarily due to increased retail volumes, increased tank exchange sales volumes, both as discussed above, and increased retail gross margin per gallon. The $18.0 million increase in retail gross margin resulted primarily from a $12.2 million increase attributed to sales volumes, as discussed above, and a $5.8 million increase in gross margin per gallon. The $10.2 million increase in wholesale gross margin primarily relates to increased tank exchange sales volumes, as discussed above.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Gross margin - other</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Gross margin increased $2.1 million compared to the prior year period primarily due to increased miscellaneous fees billed to customers and increased tank rental income.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0" w:name="page81"/>
    <w:bookmarkEnd w:id="8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Operating income</w:t>
      </w:r>
    </w:p>
    <w:p>
      <w:pPr>
        <w:spacing w:after="0" w:line="150" w:lineRule="exact"/>
        <w:rPr>
          <w:sz w:val="20"/>
          <w:szCs w:val="20"/>
          <w:color w:val="auto"/>
        </w:rPr>
      </w:pPr>
    </w:p>
    <w:p>
      <w:pPr>
        <w:ind w:left="20" w:right="39"/>
        <w:spacing w:after="0" w:line="281" w:lineRule="auto"/>
        <w:rPr>
          <w:sz w:val="20"/>
          <w:szCs w:val="20"/>
          <w:color w:val="auto"/>
        </w:rPr>
      </w:pPr>
      <w:r>
        <w:rPr>
          <w:rFonts w:ascii="Arial" w:cs="Arial" w:eastAsia="Arial" w:hAnsi="Arial"/>
          <w:sz w:val="11"/>
          <w:szCs w:val="11"/>
          <w:color w:val="auto"/>
        </w:rPr>
        <w:t>Operating income increased $25.4 million primarily due to a $28.2 million increase in "Gross margin - Propane and other gas liquid sales", a $2.1 million increase in gross margin – other, both as discussed above, and a $1.3 million decrease in “Operating expense – equipment lease expense”, partially offset by a $5.7 million increase in “Operating, general and administrative expense”. “Operating expense – equipment lease expense” decreased due to our entering into more finance leases instead of operating leases, resulting in less lease expense and greater interest expense and amortization expense. “Operating, general and administrative expense” increased due to a $3.1 million increase in “Operating expense – personnel, vehicle, plant and other”, and a $2.6 million increase in “General and administrative expense”. “Operating expense – personnel, vehicle, plant and other” increased primarily due to a $2.2 million increase in field personnel costs, and a $1.1 million increase in vehicle fuel and other vehicle costs. “General and administrative expense” increased primarily due to a $1.5 million increase in legal costs and a $1.0 million increase in personnel incentives.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Adjusted EBITDA</w:t>
      </w:r>
    </w:p>
    <w:p>
      <w:pPr>
        <w:spacing w:after="0" w:line="150" w:lineRule="exact"/>
        <w:rPr>
          <w:sz w:val="20"/>
          <w:szCs w:val="20"/>
          <w:color w:val="auto"/>
        </w:rPr>
      </w:pPr>
    </w:p>
    <w:p>
      <w:pPr>
        <w:ind w:left="20" w:right="179"/>
        <w:spacing w:after="0" w:line="255" w:lineRule="auto"/>
        <w:rPr>
          <w:sz w:val="20"/>
          <w:szCs w:val="20"/>
          <w:color w:val="auto"/>
        </w:rPr>
      </w:pPr>
      <w:r>
        <w:rPr>
          <w:rFonts w:ascii="Arial" w:cs="Arial" w:eastAsia="Arial" w:hAnsi="Arial"/>
          <w:sz w:val="12"/>
          <w:szCs w:val="12"/>
          <w:color w:val="auto"/>
        </w:rPr>
        <w:t>Adjusted EBITDA increased $26.9 million primarily due to a $28.2 million increase in "Gross margin - Propane and other gas liquid sales", a $2.1 million increase in gross margin – other, both as discussed above, and a $1.3 million decrease in “Operating expense – equipment lease expense”, partially offset by a $4.7 million increase in “Operating, general and administrative expense”. “Operating, general and administrative expense” increased due to a $3.2 million increase in “Operating expense – personnel, vehicle, plant and other”, and a $1.5 million increase in “General and administrative expense”. “Operating expense – personnel, vehicle, plant and other” increased primarily due to a $2.2 million increase in field personnel costs and a $1.1 million increase in vehicle fuel and other vehicle costs. “General and administrative expense” increased primarily due to a $1.0 million increase in personnel incentives.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1" w:name="page82"/>
    <w:bookmarkEnd w:id="8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Results for the nine months ended April 30, 2021 and 2020</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w w:val="84"/>
              </w:rPr>
              <w:t>Increase (Decrease)</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33"/>
        </w:trPr>
        <w:tc>
          <w:tcPr>
            <w:tcW w:w="52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 of April 30,</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Retail customers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721,562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727,863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(6,301)</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Tank exchange selling locations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58,245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4,127</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99"/>
        </w:trPr>
        <w:tc>
          <w:tcPr>
            <w:tcW w:w="522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i w:val="1"/>
                <w:iCs w:val="1"/>
                <w:color w:val="auto"/>
              </w:rPr>
              <w:t>(amounts in thousands)</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08"/>
        </w:trPr>
        <w:tc>
          <w:tcPr>
            <w:tcW w:w="5220" w:type="dxa"/>
            <w:vAlign w:val="bottom"/>
          </w:tcPr>
          <w:p>
            <w:pPr>
              <w:spacing w:after="0" w:line="108" w:lineRule="exact"/>
              <w:rPr>
                <w:sz w:val="20"/>
                <w:szCs w:val="20"/>
                <w:color w:val="auto"/>
              </w:rPr>
            </w:pPr>
            <w:r>
              <w:rPr>
                <w:rFonts w:ascii="Arial" w:cs="Arial" w:eastAsia="Arial" w:hAnsi="Arial"/>
                <w:sz w:val="10"/>
                <w:szCs w:val="10"/>
                <w:b w:val="1"/>
                <w:bCs w:val="1"/>
                <w:color w:val="auto"/>
              </w:rPr>
              <w:t>Nine months ended April 30,</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Propane sales volumes (gallons):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Retail - Sales to End Users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536,124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552,340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(16,216)</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Wholesale - Sales to Resellers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179,695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40"/>
        </w:trPr>
        <w:tc>
          <w:tcPr>
            <w:tcW w:w="5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713,094</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732,035</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(18,941)</w:t>
            </w:r>
          </w:p>
        </w:tc>
        <w:tc>
          <w:tcPr>
            <w:tcW w:w="2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gridSpan w:val="2"/>
          </w:tcPr>
          <w:p>
            <w:pPr>
              <w:jc w:val="right"/>
              <w:spacing w:after="0" w:line="133" w:lineRule="exact"/>
              <w:rPr>
                <w:sz w:val="20"/>
                <w:szCs w:val="20"/>
                <w:color w:val="auto"/>
              </w:rPr>
            </w:pPr>
            <w:r>
              <w:rPr>
                <w:rFonts w:ascii="Arial" w:cs="Arial" w:eastAsia="Arial" w:hAnsi="Arial"/>
                <w:sz w:val="12"/>
                <w:szCs w:val="12"/>
                <w:color w:val="auto"/>
              </w:rPr>
              <w:t>(3)%</w:t>
            </w:r>
          </w:p>
        </w:tc>
      </w:tr>
      <w:tr>
        <w:trPr>
          <w:trHeight w:val="144"/>
        </w:trPr>
        <w:tc>
          <w:tcPr>
            <w:tcW w:w="5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Revenues -</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Propane and other gas liquids sales: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22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Retail - Sales to End Users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945,833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840,649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105,184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Pr>
          <w:p>
            <w:pPr>
              <w:ind w:left="60"/>
              <w:spacing w:after="0"/>
              <w:rPr>
                <w:sz w:val="20"/>
                <w:szCs w:val="20"/>
                <w:color w:val="auto"/>
              </w:rPr>
            </w:pPr>
            <w:r>
              <w:rPr>
                <w:rFonts w:ascii="Arial" w:cs="Arial" w:eastAsia="Arial" w:hAnsi="Arial"/>
                <w:sz w:val="12"/>
                <w:szCs w:val="12"/>
                <w:color w:val="auto"/>
              </w:rPr>
              <w:t>Wholesale - Sales to Resellers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381,357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291,445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89,912</w:t>
            </w:r>
          </w:p>
        </w:tc>
        <w:tc>
          <w:tcPr>
            <w:tcW w:w="2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31</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Gas Sales (a)</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(b)</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67,665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65,800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1,865</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133"/>
        </w:trPr>
        <w:tc>
          <w:tcPr>
            <w:tcW w:w="5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Propane and related equipment revenues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1,419,184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1,216,177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203,007</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Gross Margin -</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Propane and other gas liquids sales gross margin: (c)</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22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Retail - Sales to End Users (a)</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464,343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459,198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Pr>
          <w:p>
            <w:pPr>
              <w:ind w:left="60"/>
              <w:spacing w:after="0"/>
              <w:rPr>
                <w:sz w:val="20"/>
                <w:szCs w:val="20"/>
                <w:color w:val="auto"/>
              </w:rPr>
            </w:pPr>
            <w:r>
              <w:rPr>
                <w:rFonts w:ascii="Arial" w:cs="Arial" w:eastAsia="Arial" w:hAnsi="Arial"/>
                <w:sz w:val="12"/>
                <w:szCs w:val="12"/>
                <w:color w:val="auto"/>
              </w:rPr>
              <w:t>Wholesale - Sales to Resellers (a)</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180,386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143,043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37,343</w:t>
            </w:r>
          </w:p>
        </w:tc>
        <w:tc>
          <w:tcPr>
            <w:tcW w:w="2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Other (b)</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57,509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56,026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33"/>
        </w:trPr>
        <w:tc>
          <w:tcPr>
            <w:tcW w:w="5220" w:type="dxa"/>
            <w:vAlign w:val="bottom"/>
          </w:tcPr>
          <w:p>
            <w:pPr>
              <w:spacing w:after="0" w:line="133" w:lineRule="exact"/>
              <w:rPr>
                <w:sz w:val="20"/>
                <w:szCs w:val="20"/>
                <w:color w:val="auto"/>
              </w:rPr>
            </w:pPr>
            <w:r>
              <w:rPr>
                <w:rFonts w:ascii="Arial" w:cs="Arial" w:eastAsia="Arial" w:hAnsi="Arial"/>
                <w:sz w:val="12"/>
                <w:szCs w:val="12"/>
                <w:color w:val="auto"/>
              </w:rPr>
              <w:t>Propane and related equipment gross profit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702,238</w:t>
            </w:r>
          </w:p>
        </w:tc>
        <w:tc>
          <w:tcPr>
            <w:tcW w:w="140" w:type="dxa"/>
            <w:vAlign w:val="bottom"/>
          </w:tcPr>
          <w:p>
            <w:pPr>
              <w:spacing w:after="0"/>
              <w:rPr>
                <w:sz w:val="11"/>
                <w:szCs w:val="11"/>
                <w:color w:val="auto"/>
              </w:rPr>
            </w:pP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658,267</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43,971</w:t>
            </w:r>
          </w:p>
        </w:tc>
        <w:tc>
          <w:tcPr>
            <w:tcW w:w="26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5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Operating, general and administrative expense (d)</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397,658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400,781</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(3,123)</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 - equipment lease expense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(4,262)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215,679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50,721</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31 %</w:t>
            </w:r>
          </w:p>
        </w:tc>
      </w:tr>
      <w:tr>
        <w:trPr>
          <w:trHeight w:val="144"/>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 expense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Non-cash employee stock ownership plan compensation charge</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99</w:t>
            </w:r>
          </w:p>
        </w:tc>
        <w:tc>
          <w:tcPr>
            <w:tcW w:w="2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5 %</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Loss on asset sales and disposals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Legal fees and settlements related to non-core businesses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2,685</w:t>
            </w:r>
          </w:p>
        </w:tc>
        <w:tc>
          <w:tcPr>
            <w:tcW w:w="2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46</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Provision for doubtful accounts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NM</w:t>
            </w:r>
          </w:p>
        </w:tc>
        <w:tc>
          <w:tcPr>
            <w:tcW w:w="160" w:type="dxa"/>
            <w:vAlign w:val="bottom"/>
            <w:shd w:val="clear" w:color="auto" w:fill="CCEEFF"/>
          </w:tcPr>
          <w:p>
            <w:pPr>
              <w:spacing w:after="0"/>
              <w:rPr>
                <w:sz w:val="12"/>
                <w:szCs w:val="12"/>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Severance costs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1,761</w:t>
            </w:r>
          </w:p>
        </w:tc>
        <w:tc>
          <w:tcPr>
            <w:tcW w:w="2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NM</w:t>
            </w:r>
          </w:p>
        </w:tc>
        <w:tc>
          <w:tcPr>
            <w:tcW w:w="160" w:type="dxa"/>
            <w:vAlign w:val="bottom"/>
          </w:tcPr>
          <w:p>
            <w:pPr>
              <w:spacing w:after="0"/>
              <w:rPr>
                <w:sz w:val="12"/>
                <w:szCs w:val="12"/>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Lease accounting standard adjustment and other (e)</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(134)</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NM</w:t>
            </w:r>
          </w:p>
        </w:tc>
        <w:tc>
          <w:tcPr>
            <w:tcW w:w="160" w:type="dxa"/>
            <w:vAlign w:val="bottom"/>
            <w:shd w:val="clear" w:color="auto" w:fill="CCEEFF"/>
          </w:tcPr>
          <w:p>
            <w:pPr>
              <w:spacing w:after="0"/>
              <w:rPr>
                <w:sz w:val="12"/>
                <w:szCs w:val="12"/>
                <w:color w:val="auto"/>
              </w:rPr>
            </w:pPr>
          </w:p>
        </w:tc>
      </w:tr>
      <w:tr>
        <w:trPr>
          <w:trHeight w:val="140"/>
        </w:trPr>
        <w:tc>
          <w:tcPr>
            <w:tcW w:w="5220" w:type="dxa"/>
            <w:vAlign w:val="bottom"/>
          </w:tcPr>
          <w:p>
            <w:pPr>
              <w:spacing w:after="0" w:line="133" w:lineRule="exact"/>
              <w:rPr>
                <w:sz w:val="20"/>
                <w:szCs w:val="20"/>
                <w:color w:val="auto"/>
              </w:rPr>
            </w:pPr>
            <w:r>
              <w:rPr>
                <w:rFonts w:ascii="Arial" w:cs="Arial" w:eastAsia="Arial" w:hAnsi="Arial"/>
                <w:sz w:val="12"/>
                <w:szCs w:val="12"/>
                <w:color w:val="auto"/>
              </w:rPr>
              <w:t>Adjusted EBITDA</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293,951</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238,783</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55,168</w:t>
            </w:r>
          </w:p>
        </w:tc>
        <w:tc>
          <w:tcPr>
            <w:tcW w:w="260" w:type="dxa"/>
            <w:vAlign w:val="bottom"/>
          </w:tcPr>
          <w:p>
            <w:pPr>
              <w:spacing w:after="0"/>
              <w:rPr>
                <w:sz w:val="12"/>
                <w:szCs w:val="12"/>
                <w:color w:val="auto"/>
              </w:rPr>
            </w:pPr>
          </w:p>
        </w:tc>
        <w:tc>
          <w:tcPr>
            <w:tcW w:w="4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23 %</w:t>
            </w: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NM – Not meaningful</w:t>
      </w:r>
    </w:p>
    <w:p>
      <w:pPr>
        <w:spacing w:after="0" w:line="15" w:lineRule="exact"/>
        <w:rPr>
          <w:sz w:val="20"/>
          <w:szCs w:val="20"/>
          <w:color w:val="auto"/>
        </w:rPr>
      </w:pPr>
    </w:p>
    <w:p>
      <w:pPr>
        <w:ind w:left="240" w:hanging="218"/>
        <w:spacing w:after="0"/>
        <w:tabs>
          <w:tab w:leader="none" w:pos="240" w:val="left"/>
        </w:tabs>
        <w:numPr>
          <w:ilvl w:val="0"/>
          <w:numId w:val="58"/>
        </w:numPr>
        <w:rPr>
          <w:rFonts w:ascii="Arial" w:cs="Arial" w:eastAsia="Arial" w:hAnsi="Arial"/>
          <w:sz w:val="10"/>
          <w:szCs w:val="10"/>
          <w:color w:val="auto"/>
        </w:rPr>
      </w:pPr>
      <w:r>
        <w:rPr>
          <w:rFonts w:ascii="Arial" w:cs="Arial" w:eastAsia="Arial" w:hAnsi="Arial"/>
          <w:sz w:val="10"/>
          <w:szCs w:val="10"/>
          <w:color w:val="auto"/>
        </w:rPr>
        <w:t>Gross margin for Other Gas Sales is allocated to Gross margin "Retail - Sales to End Users" and "Wholesale - Sales to Resellers" based on the volumes in each respective category.</w:t>
      </w:r>
    </w:p>
    <w:p>
      <w:pPr>
        <w:spacing w:after="0" w:line="29" w:lineRule="exact"/>
        <w:rPr>
          <w:rFonts w:ascii="Arial" w:cs="Arial" w:eastAsia="Arial" w:hAnsi="Arial"/>
          <w:sz w:val="10"/>
          <w:szCs w:val="10"/>
          <w:color w:val="auto"/>
        </w:rPr>
      </w:pPr>
    </w:p>
    <w:p>
      <w:pPr>
        <w:ind w:left="240" w:hanging="218"/>
        <w:spacing w:after="0"/>
        <w:tabs>
          <w:tab w:leader="none" w:pos="2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Other primarily includes various customer fee income and to a lesser extent appliance and material sales.</w:t>
      </w:r>
    </w:p>
    <w:p>
      <w:pPr>
        <w:spacing w:after="0" w:line="6" w:lineRule="exact"/>
        <w:rPr>
          <w:rFonts w:ascii="Arial" w:cs="Arial" w:eastAsia="Arial" w:hAnsi="Arial"/>
          <w:sz w:val="12"/>
          <w:szCs w:val="12"/>
          <w:color w:val="auto"/>
        </w:rPr>
      </w:pPr>
    </w:p>
    <w:p>
      <w:pPr>
        <w:ind w:left="240" w:right="239" w:hanging="218"/>
        <w:spacing w:after="0" w:line="250" w:lineRule="auto"/>
        <w:tabs>
          <w:tab w:leader="none" w:pos="2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Gross margin from "Propane and other gas liquids sales" represents "Revenues - Propane and other gas liquids sales" less "Cost of sales - Propane and other gas liquids sales" and does not include depreciation and amortization.</w:t>
      </w:r>
    </w:p>
    <w:p>
      <w:pPr>
        <w:ind w:left="240" w:right="299" w:hanging="218"/>
        <w:spacing w:after="0" w:line="250" w:lineRule="auto"/>
        <w:tabs>
          <w:tab w:leader="none" w:pos="2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Operating, general and administrative expense” above includes both the “Operating expense – personnel, vehicle, plant and other” and the “General and administrative expense” captions in the condensed consolidated statement of operations.</w:t>
      </w:r>
    </w:p>
    <w:p>
      <w:pPr>
        <w:ind w:left="240" w:hanging="218"/>
        <w:spacing w:after="0"/>
        <w:tabs>
          <w:tab w:leader="none" w:pos="2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Lease accounting standard adjustment and other reflects the additional expense recognized in excess of cash paid.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2" w:name="page83"/>
    <w:bookmarkEnd w:id="8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Propane sales volumes during the nine months ended April 30, 2021 decreased 3%, or 18.9 million gallons, from the prior year period primarily due to decreased sales volumes to retail and wholesale customers, substantially offset by increased sales to tank exchange customers. Sales volumes to retail customers were impacted by a now recovering industrial commercial customer base and weak agriculture demand. Weather in the more highly concentrated geographic areas we serve for the nine months ended April 30, 2021 was approximately 2% warmer than normal, and 2% colder than the prior year period.</w:t>
      </w:r>
    </w:p>
    <w:p>
      <w:pPr>
        <w:spacing w:after="0" w:line="124" w:lineRule="exact"/>
        <w:rPr>
          <w:sz w:val="20"/>
          <w:szCs w:val="20"/>
          <w:color w:val="auto"/>
        </w:rPr>
      </w:pPr>
    </w:p>
    <w:p>
      <w:pPr>
        <w:ind w:left="20" w:right="119"/>
        <w:spacing w:after="0" w:line="256" w:lineRule="auto"/>
        <w:rPr>
          <w:sz w:val="20"/>
          <w:szCs w:val="20"/>
          <w:color w:val="auto"/>
        </w:rPr>
      </w:pPr>
      <w:r>
        <w:rPr>
          <w:rFonts w:ascii="Arial" w:cs="Arial" w:eastAsia="Arial" w:hAnsi="Arial"/>
          <w:sz w:val="12"/>
          <w:szCs w:val="12"/>
          <w:color w:val="auto"/>
        </w:rPr>
        <w:t>Our wholesale sales price per gallon partially correlates to the change in the wholesale market price of propane. The wholesale market price at major supply points in Mt. Belvieu, Texas during the nine months ended April 30, 2021 averaged 64% more than the prior year period, while at the Conway, Kansas major supply point prices averaged 76% more than the prior year period. The wholesale market price at Mt. Belvieu, Texas averaged $0.69 and $0.42 per gallon during the nine months ended April 30, 2021 and 2020, respectively, while the wholesale market price at Conway, Kansas averaged $0.67 and $0.38 per gallon during the nine months ended April 30, 2021 and 2020, respectively. This increase in the wholesale cost of propane contributed to our increase in sales price per gallon and therefore revenues.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Revenues</w:t>
      </w:r>
    </w:p>
    <w:p>
      <w:pPr>
        <w:spacing w:after="0" w:line="150"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Retail sales increased $105.2 million compared to the prior year period. This increase resulted from a $129.9 million increase in sales price per gallon, partially offset by a $24.7 million decrease in sales volume, both as discussed above.</w:t>
      </w:r>
    </w:p>
    <w:p>
      <w:pPr>
        <w:spacing w:after="0" w:line="115"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Wholesale sales increased $89.9 million compared to the prior year period. The increase in sales was primarily due to the increases in tank exchange sales volumes and an increase in sales price per gallon, both as discussed above.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gas sales increased $6.0 million compared to the prior year period primarily due to an increase in sales price per gallon.</w:t>
      </w:r>
    </w:p>
    <w:p>
      <w:pPr>
        <w:spacing w:after="0" w:line="150"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color w:val="auto"/>
        </w:rPr>
        <w:t>Other revenues increased $1.9 million compared to the prior year period primarily due to increased miscellaneous fees billed to customers and increased tank rental income, partially offset by a $2.4 million one-time refund of federal fuel excise tax received in fiscal 2020 that was not repeated in fiscal 2021.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Gross margin - Propane and other gas liquids sales</w:t>
      </w:r>
    </w:p>
    <w:p>
      <w:pPr>
        <w:spacing w:after="0" w:line="150"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Gross margin increased $42.4 million primarily due to increased tank exchange sales volumes and to a lesser extent increased retail gross margin per gallon, partially offset by the decreased other volumes sales, each as discussed above. The $37.3 million increase in wholesale gross margin primarily relates to increased tank exchange sales volumes. The $5.1 million increase in retail gross margin resulted primarily from a $18.6 million increase in gross margin per gallon, partially offset by a $13.5 million overall decrease in sales volume, as discussed above.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Gross margin - other</w:t>
      </w:r>
    </w:p>
    <w:p>
      <w:pPr>
        <w:spacing w:after="0" w:line="150"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Gross margin decreased $1.5 million compared to the prior year period primarily due to increased miscellaneous fees billed to customers and increased tank rental income, partially offset by a $2.4 million one-time refund of federal fuel excise tax received in fiscal 2020 that was not repeated in fiscal 2021.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3" w:name="page84"/>
    <w:bookmarkEnd w:id="8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Operating income</w:t>
      </w:r>
    </w:p>
    <w:p>
      <w:pPr>
        <w:spacing w:after="0" w:line="150" w:lineRule="exact"/>
        <w:rPr>
          <w:sz w:val="20"/>
          <w:szCs w:val="20"/>
          <w:color w:val="auto"/>
        </w:rPr>
      </w:pPr>
    </w:p>
    <w:p>
      <w:pPr>
        <w:ind w:left="20" w:right="79"/>
        <w:spacing w:after="0" w:line="281" w:lineRule="auto"/>
        <w:rPr>
          <w:sz w:val="20"/>
          <w:szCs w:val="20"/>
          <w:color w:val="auto"/>
        </w:rPr>
      </w:pPr>
      <w:r>
        <w:rPr>
          <w:rFonts w:ascii="Arial" w:cs="Arial" w:eastAsia="Arial" w:hAnsi="Arial"/>
          <w:sz w:val="11"/>
          <w:szCs w:val="11"/>
          <w:color w:val="auto"/>
        </w:rPr>
        <w:t>Operating income increased $50.7 million primarily due to a $42.4 million increase in "Gross margin - Propane and other gas liquid sales", as discussed above, a $4.3 million decrease in “Operating expense – equipment lease expense”, and a $3.1 million decrease in “Operating, general and administrative expense”. “Operating expense – equipment lease expense” decreased due to our entering into more finance leases instead of operating leases, resulting in less lease expense and greater interest expense and amortization expense. “Operating, general and administrative expense” decreased due to a $15.4 million decrease in “Operating expense – personnel, vehicle, plant and other”, partially offset by a $12.3 million increase in “General and administrative expense”. “Operating expense – personnel, vehicle, plant and other” decreased primarily due to a $5.3 million decrease in vehicle fuel and other vehicle costs, $3.0 million in decreased plant and office costs, a $2.8 million decrease in general insurance and workers compensation costs and a $2.7 million decrease in field personnel costs. “General and administrative expense” increased primarily due to a $6.6 million increase in legal costs and a $5.4 million increase in personnel incentives.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Adjusted EBITDA</w:t>
      </w:r>
    </w:p>
    <w:p>
      <w:pPr>
        <w:spacing w:after="0" w:line="150"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Adjusted EBITDA increased $55.2 million primarily due to a $42.5 million increase in "Gross margin - Propane and other gas liquid sales", as discussed above, a $7.0 million decrease in “Operating, general and administrative expense”, and a $4.3 million decrease in “Operating expense – equipment lease expense”, as discussed above. “Operating, general and administrative expense” decreased due to a $16.3 million decrease in “Operating expense – personnel, vehicle, plant and other”, partially offset by a $9.3 million increase in “General and administrative expense”. “Operating expense – personnel, vehicle, plant and other” decreased primarily due to a $5.3 million decrease in vehicle fuel and other vehicle costs, a $3.6 million decrease in field personnel costs, $3.0 million in decreased plant and office costs and a $2.8 million decrease in general insurance and workers compensation costs. “General and administrative expense” increased primarily due to a $5.4 million increase in personnel incentives and a $3.9 million increase in legal costs.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Liquidity and Capital Resources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Our primary sources of liquidity and capital resources are cash flows from operating activities, our Credit Facility and funds received from sales of debt and equity securities. As of April 30, 2021, our total liquidity was $423.1 million, which is comprised of $211.3 million in unrestricted cash and $211.8 million of availability under our Credit Facility. These sources of liquidity and short term capital resources are intended to fund our working capital requirements, acquisitions and capital expenditures. As of April 30, 2021, letters of credit outstanding totaled $138.2 million. Our access to long term capital resources, in order to address our leverage, may be affected by our ability to access the capital markets, covenants in our debt agreements, unforeseen demands on cash, or other events beyond our control.</w:t>
      </w:r>
    </w:p>
    <w:p>
      <w:pPr>
        <w:spacing w:after="0" w:line="128" w:lineRule="exact"/>
        <w:rPr>
          <w:sz w:val="20"/>
          <w:szCs w:val="20"/>
          <w:color w:val="auto"/>
        </w:rPr>
      </w:pPr>
    </w:p>
    <w:p>
      <w:pPr>
        <w:ind w:left="20" w:right="239"/>
        <w:spacing w:after="0" w:line="276" w:lineRule="auto"/>
        <w:rPr>
          <w:sz w:val="20"/>
          <w:szCs w:val="20"/>
          <w:color w:val="auto"/>
        </w:rPr>
      </w:pPr>
      <w:r>
        <w:rPr>
          <w:rFonts w:ascii="Arial" w:cs="Arial" w:eastAsia="Arial" w:hAnsi="Arial"/>
          <w:sz w:val="12"/>
          <w:szCs w:val="12"/>
          <w:color w:val="auto"/>
        </w:rPr>
        <w:t>As of April 30, 2021, we had $11.5 million of restricted cash for a cash deposit made with the administrative agent under the senior secured credit facility that was terminated in April 2020.</w:t>
      </w:r>
    </w:p>
    <w:p>
      <w:pPr>
        <w:spacing w:after="0" w:line="115" w:lineRule="exact"/>
        <w:rPr>
          <w:sz w:val="20"/>
          <w:szCs w:val="20"/>
          <w:color w:val="auto"/>
        </w:rPr>
      </w:pPr>
    </w:p>
    <w:p>
      <w:pPr>
        <w:ind w:left="20" w:right="359"/>
        <w:spacing w:after="0" w:line="276" w:lineRule="auto"/>
        <w:rPr>
          <w:sz w:val="20"/>
          <w:szCs w:val="20"/>
          <w:color w:val="auto"/>
        </w:rPr>
      </w:pPr>
      <w:r>
        <w:rPr>
          <w:rFonts w:ascii="Arial" w:cs="Arial" w:eastAsia="Arial" w:hAnsi="Arial"/>
          <w:sz w:val="12"/>
          <w:szCs w:val="12"/>
          <w:color w:val="auto"/>
        </w:rPr>
        <w:t>We believe that the liquidity available from cash flows from operating activities, unrestricted cash and the Credit Facility will be sufficient to meet our capital expenditure, working capital and letter of credit requirements for the foreseeable future.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4" w:name="page85"/>
    <w:bookmarkEnd w:id="8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Distributable Cash Flow</w:t>
      </w:r>
    </w:p>
    <w:p>
      <w:pPr>
        <w:spacing w:after="0" w:line="154" w:lineRule="exact"/>
        <w:rPr>
          <w:sz w:val="20"/>
          <w:szCs w:val="20"/>
          <w:color w:val="auto"/>
        </w:rPr>
      </w:pPr>
    </w:p>
    <w:p>
      <w:pPr>
        <w:ind w:left="20" w:right="199"/>
        <w:spacing w:after="0" w:line="259" w:lineRule="auto"/>
        <w:rPr>
          <w:sz w:val="20"/>
          <w:szCs w:val="20"/>
          <w:color w:val="auto"/>
        </w:rPr>
      </w:pPr>
      <w:r>
        <w:rPr>
          <w:rFonts w:ascii="Arial" w:cs="Arial" w:eastAsia="Arial" w:hAnsi="Arial"/>
          <w:sz w:val="12"/>
          <w:szCs w:val="12"/>
          <w:color w:val="auto"/>
        </w:rPr>
        <w:t>Distributable cash flow attributable to equity investors is reconciled to net earnings (loss) attributable to Ferrellgas Partners, L.P., the most directly comparable GAAP measure, in this Item 2. Management’s Discussion and Analysis of Financial Condition and Results of Operations under the subheading "Non-GAAP Financial Measures" above. A comparison of distributable cash flow attributable to equity investors to cash distributions paid to equity investors for the twelve months ended April 30, 2021 to the twelve months ended January 31, 2021 is as follows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Distributable</w:t>
            </w:r>
          </w:p>
        </w:tc>
        <w:tc>
          <w:tcPr>
            <w:tcW w:w="160" w:type="dxa"/>
            <w:vAlign w:val="bottom"/>
          </w:tcPr>
          <w:p>
            <w:pPr>
              <w:spacing w:after="0"/>
              <w:rPr>
                <w:sz w:val="10"/>
                <w:szCs w:val="1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1"/>
              </w:rPr>
              <w:t>Cash reserves</w:t>
            </w:r>
          </w:p>
        </w:tc>
        <w:tc>
          <w:tcPr>
            <w:tcW w:w="140" w:type="dxa"/>
            <w:vAlign w:val="bottom"/>
          </w:tcPr>
          <w:p>
            <w:pPr>
              <w:spacing w:after="0"/>
              <w:rPr>
                <w:sz w:val="10"/>
                <w:szCs w:val="10"/>
                <w:color w:val="auto"/>
              </w:rPr>
            </w:pPr>
          </w:p>
        </w:tc>
        <w:tc>
          <w:tcPr>
            <w:tcW w:w="1020" w:type="dxa"/>
            <w:vAlign w:val="bottom"/>
          </w:tcPr>
          <w:p>
            <w:pPr>
              <w:jc w:val="center"/>
              <w:ind w:right="84"/>
              <w:spacing w:after="0"/>
              <w:rPr>
                <w:sz w:val="20"/>
                <w:szCs w:val="20"/>
                <w:color w:val="auto"/>
              </w:rPr>
            </w:pPr>
            <w:r>
              <w:rPr>
                <w:rFonts w:ascii="Arial" w:cs="Arial" w:eastAsia="Arial" w:hAnsi="Arial"/>
                <w:sz w:val="10"/>
                <w:szCs w:val="10"/>
                <w:b w:val="1"/>
                <w:bCs w:val="1"/>
                <w:color w:val="auto"/>
                <w:w w:val="86"/>
              </w:rPr>
              <w:t>Cash distributions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08"/>
        </w:trPr>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5"/>
              </w:rPr>
              <w:t>cash flow attributable</w:t>
            </w:r>
          </w:p>
        </w:tc>
        <w:tc>
          <w:tcPr>
            <w:tcW w:w="160" w:type="dxa"/>
            <w:vAlign w:val="bottom"/>
          </w:tcPr>
          <w:p>
            <w:pPr>
              <w:spacing w:after="0"/>
              <w:rPr>
                <w:sz w:val="9"/>
                <w:szCs w:val="9"/>
                <w:color w:val="auto"/>
              </w:rPr>
            </w:pPr>
          </w:p>
        </w:tc>
        <w:tc>
          <w:tcPr>
            <w:tcW w:w="14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85"/>
              </w:rPr>
              <w:t>(deficiency) approved</w:t>
            </w:r>
          </w:p>
        </w:tc>
        <w:tc>
          <w:tcPr>
            <w:tcW w:w="140" w:type="dxa"/>
            <w:vAlign w:val="bottom"/>
          </w:tcPr>
          <w:p>
            <w:pPr>
              <w:spacing w:after="0"/>
              <w:rPr>
                <w:sz w:val="9"/>
                <w:szCs w:val="9"/>
                <w:color w:val="auto"/>
              </w:rPr>
            </w:pPr>
          </w:p>
        </w:tc>
        <w:tc>
          <w:tcPr>
            <w:tcW w:w="1020" w:type="dxa"/>
            <w:vAlign w:val="bottom"/>
          </w:tcPr>
          <w:p>
            <w:pPr>
              <w:jc w:val="center"/>
              <w:ind w:right="84"/>
              <w:spacing w:after="0" w:line="108" w:lineRule="exact"/>
              <w:rPr>
                <w:sz w:val="20"/>
                <w:szCs w:val="20"/>
                <w:color w:val="auto"/>
              </w:rPr>
            </w:pPr>
            <w:r>
              <w:rPr>
                <w:rFonts w:ascii="Arial" w:cs="Arial" w:eastAsia="Arial" w:hAnsi="Arial"/>
                <w:sz w:val="10"/>
                <w:szCs w:val="10"/>
                <w:b w:val="1"/>
                <w:bCs w:val="1"/>
                <w:color w:val="auto"/>
                <w:w w:val="87"/>
              </w:rPr>
              <w:t>accrued or paid to</w:t>
            </w:r>
          </w:p>
        </w:tc>
        <w:tc>
          <w:tcPr>
            <w:tcW w:w="140" w:type="dxa"/>
            <w:vAlign w:val="bottom"/>
          </w:tcPr>
          <w:p>
            <w:pPr>
              <w:spacing w:after="0"/>
              <w:rPr>
                <w:sz w:val="9"/>
                <w:szCs w:val="9"/>
                <w:color w:val="auto"/>
              </w:rPr>
            </w:pPr>
          </w:p>
        </w:tc>
        <w:tc>
          <w:tcPr>
            <w:tcW w:w="640" w:type="dxa"/>
            <w:vAlign w:val="bottom"/>
          </w:tcPr>
          <w:p>
            <w:pPr>
              <w:jc w:val="right"/>
              <w:ind w:right="46"/>
              <w:spacing w:after="0" w:line="108" w:lineRule="exact"/>
              <w:rPr>
                <w:sz w:val="20"/>
                <w:szCs w:val="20"/>
                <w:color w:val="auto"/>
              </w:rPr>
            </w:pPr>
            <w:r>
              <w:rPr>
                <w:rFonts w:ascii="Arial" w:cs="Arial" w:eastAsia="Arial" w:hAnsi="Arial"/>
                <w:sz w:val="10"/>
                <w:szCs w:val="10"/>
                <w:b w:val="1"/>
                <w:bCs w:val="1"/>
                <w:color w:val="auto"/>
              </w:rPr>
              <w:t>DCF ratio</w:t>
            </w:r>
          </w:p>
        </w:tc>
      </w:tr>
      <w:tr>
        <w:trPr>
          <w:trHeight w:val="113"/>
        </w:trPr>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to equity investors</w:t>
            </w:r>
          </w:p>
        </w:tc>
        <w:tc>
          <w:tcPr>
            <w:tcW w:w="160" w:type="dxa"/>
            <w:vAlign w:val="bottom"/>
          </w:tcPr>
          <w:p>
            <w:pPr>
              <w:spacing w:after="0"/>
              <w:rPr>
                <w:sz w:val="9"/>
                <w:szCs w:val="9"/>
                <w:color w:val="auto"/>
              </w:rPr>
            </w:pPr>
          </w:p>
        </w:tc>
        <w:tc>
          <w:tcPr>
            <w:tcW w:w="146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8"/>
              </w:rPr>
              <w:t>by our General Partner</w:t>
            </w:r>
          </w:p>
        </w:tc>
        <w:tc>
          <w:tcPr>
            <w:tcW w:w="140" w:type="dxa"/>
            <w:vAlign w:val="bottom"/>
          </w:tcPr>
          <w:p>
            <w:pPr>
              <w:spacing w:after="0"/>
              <w:rPr>
                <w:sz w:val="9"/>
                <w:szCs w:val="9"/>
                <w:color w:val="auto"/>
              </w:rPr>
            </w:pPr>
          </w:p>
        </w:tc>
        <w:tc>
          <w:tcPr>
            <w:tcW w:w="1020" w:type="dxa"/>
            <w:vAlign w:val="bottom"/>
          </w:tcPr>
          <w:p>
            <w:pPr>
              <w:jc w:val="center"/>
              <w:ind w:right="84"/>
              <w:spacing w:after="0" w:line="114" w:lineRule="exact"/>
              <w:rPr>
                <w:sz w:val="20"/>
                <w:szCs w:val="20"/>
                <w:color w:val="auto"/>
              </w:rPr>
            </w:pPr>
            <w:r>
              <w:rPr>
                <w:rFonts w:ascii="Arial" w:cs="Arial" w:eastAsia="Arial" w:hAnsi="Arial"/>
                <w:sz w:val="10"/>
                <w:szCs w:val="10"/>
                <w:b w:val="1"/>
                <w:bCs w:val="1"/>
                <w:color w:val="auto"/>
                <w:w w:val="83"/>
              </w:rPr>
              <w:t>equity investors</w:t>
            </w:r>
          </w:p>
        </w:tc>
        <w:tc>
          <w:tcPr>
            <w:tcW w:w="140" w:type="dxa"/>
            <w:vAlign w:val="bottom"/>
          </w:tcPr>
          <w:p>
            <w:pPr>
              <w:spacing w:after="0"/>
              <w:rPr>
                <w:sz w:val="9"/>
                <w:szCs w:val="9"/>
                <w:color w:val="auto"/>
              </w:rPr>
            </w:pPr>
          </w:p>
        </w:tc>
        <w:tc>
          <w:tcPr>
            <w:tcW w:w="640" w:type="dxa"/>
            <w:vAlign w:val="bottom"/>
          </w:tcPr>
          <w:p>
            <w:pPr>
              <w:jc w:val="right"/>
              <w:ind w:right="126"/>
              <w:spacing w:after="0" w:line="114" w:lineRule="exact"/>
              <w:rPr>
                <w:sz w:val="20"/>
                <w:szCs w:val="20"/>
                <w:color w:val="auto"/>
              </w:rPr>
            </w:pPr>
            <w:r>
              <w:rPr>
                <w:rFonts w:ascii="Arial" w:cs="Arial" w:eastAsia="Arial" w:hAnsi="Arial"/>
                <w:sz w:val="10"/>
                <w:szCs w:val="10"/>
                <w:b w:val="1"/>
                <w:bCs w:val="1"/>
                <w:color w:val="auto"/>
              </w:rPr>
              <w:t>(a) (b)</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Nine months ended April 30, 2021</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144,987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136,976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8,011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18.1</w:t>
            </w: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Fiscal 2020</w:t>
            </w: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63,702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63,544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158</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Less: Nine months ended April 30, 2020</w:t>
            </w: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93,202</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93,044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0"/>
        </w:trPr>
        <w:tc>
          <w:tcPr>
            <w:tcW w:w="38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Twelve months ended April 30, 2021</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115,487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107,476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8,011</w:t>
            </w:r>
          </w:p>
        </w:tc>
        <w:tc>
          <w:tcPr>
            <w:tcW w:w="780" w:type="dxa"/>
            <w:vAlign w:val="bottom"/>
            <w:tcBorders>
              <w:bottom w:val="single" w:sz="8" w:color="CCEEFF"/>
            </w:tcBorders>
            <w:gridSpan w:val="2"/>
          </w:tcPr>
          <w:p>
            <w:pPr>
              <w:jc w:val="right"/>
              <w:spacing w:after="0" w:line="133" w:lineRule="exact"/>
              <w:rPr>
                <w:sz w:val="20"/>
                <w:szCs w:val="20"/>
                <w:color w:val="auto"/>
              </w:rPr>
            </w:pPr>
            <w:r>
              <w:rPr>
                <w:rFonts w:ascii="Arial" w:cs="Arial" w:eastAsia="Arial" w:hAnsi="Arial"/>
                <w:sz w:val="12"/>
                <w:szCs w:val="12"/>
                <w:color w:val="auto"/>
              </w:rPr>
              <w:t>14.4</w:t>
            </w:r>
          </w:p>
        </w:tc>
      </w:tr>
      <w:tr>
        <w:trPr>
          <w:trHeight w:val="144"/>
        </w:trPr>
        <w:tc>
          <w:tcPr>
            <w:tcW w:w="3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4"/>
        </w:trPr>
        <w:tc>
          <w:tcPr>
            <w:tcW w:w="3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Twelve months ended January 31, 2021</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79,863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79,863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NM</w:t>
            </w:r>
          </w:p>
        </w:tc>
      </w:tr>
      <w:tr>
        <w:trPr>
          <w:trHeight w:val="140"/>
        </w:trPr>
        <w:tc>
          <w:tcPr>
            <w:tcW w:w="38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Change</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35,624</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27,613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8,011</w:t>
            </w:r>
          </w:p>
        </w:tc>
        <w:tc>
          <w:tcPr>
            <w:tcW w:w="7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4.5</w:t>
            </w:r>
          </w:p>
        </w:tc>
      </w:tr>
    </w:tbl>
    <w:p>
      <w:pPr>
        <w:ind w:left="480" w:hanging="224"/>
        <w:spacing w:after="0"/>
        <w:tabs>
          <w:tab w:leader="none" w:pos="4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DCF ratio is calculated as Distributable cash flow attributable to equity investors divided by Cash distributions paid to equity investors.</w:t>
      </w:r>
    </w:p>
    <w:p>
      <w:pPr>
        <w:spacing w:after="0" w:line="6" w:lineRule="exact"/>
        <w:rPr>
          <w:rFonts w:ascii="Arial" w:cs="Arial" w:eastAsia="Arial" w:hAnsi="Arial"/>
          <w:sz w:val="12"/>
          <w:szCs w:val="12"/>
          <w:color w:val="auto"/>
        </w:rPr>
      </w:pPr>
    </w:p>
    <w:p>
      <w:pPr>
        <w:ind w:left="480" w:hanging="224"/>
        <w:spacing w:after="0"/>
        <w:tabs>
          <w:tab w:leader="none" w:pos="4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NM – Not Meaningful.</w:t>
      </w:r>
    </w:p>
    <w:p>
      <w:pPr>
        <w:spacing w:after="0" w:line="141" w:lineRule="exact"/>
        <w:rPr>
          <w:sz w:val="20"/>
          <w:szCs w:val="20"/>
          <w:color w:val="auto"/>
        </w:rPr>
      </w:pPr>
    </w:p>
    <w:p>
      <w:pPr>
        <w:ind w:left="20" w:right="139"/>
        <w:spacing w:after="0" w:line="289" w:lineRule="auto"/>
        <w:rPr>
          <w:sz w:val="20"/>
          <w:szCs w:val="20"/>
          <w:color w:val="auto"/>
        </w:rPr>
      </w:pPr>
      <w:r>
        <w:rPr>
          <w:rFonts w:ascii="Arial" w:cs="Arial" w:eastAsia="Arial" w:hAnsi="Arial"/>
          <w:sz w:val="11"/>
          <w:szCs w:val="11"/>
          <w:color w:val="auto"/>
        </w:rPr>
        <w:t>For the twelve months ended April 30, 2021, distributable cash flow attributable to equity investors increased $35.6 million compared to the twelve months ended January 31, 2021. We declared an $8.0 million quarterly distribution to Preferred Unitholders on April 30, 2021 and paid this distribution in May 2021. No cash distributions have been paid to our Class A unitholders since the three months ended October 31, 2018. Thus, cash reserves, which we utilize to meet future anticipated expenditures, increased by $107.5 million during the twelve months ended April 30, 2021, compared to an increase of $79.9 million in the twelve months ended January 31, 2021.</w:t>
      </w:r>
    </w:p>
    <w:p>
      <w:pPr>
        <w:spacing w:after="0" w:line="111"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spacing w:after="0" w:line="115" w:lineRule="exact"/>
        <w:rPr>
          <w:sz w:val="20"/>
          <w:szCs w:val="20"/>
          <w:color w:val="auto"/>
        </w:rPr>
      </w:pPr>
    </w:p>
    <w:p>
      <w:pPr>
        <w:jc w:val="both"/>
        <w:ind w:left="20" w:right="59"/>
        <w:spacing w:after="0" w:line="340" w:lineRule="auto"/>
        <w:rPr>
          <w:sz w:val="20"/>
          <w:szCs w:val="20"/>
          <w:color w:val="auto"/>
        </w:rPr>
      </w:pPr>
      <w:r>
        <w:rPr>
          <w:rFonts w:ascii="Arial" w:cs="Arial" w:eastAsia="Arial" w:hAnsi="Arial"/>
          <w:sz w:val="10"/>
          <w:szCs w:val="10"/>
          <w:color w:val="auto"/>
        </w:rPr>
        <w:t>Our working capital requirements are subject to, among other things, the price of propane,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Relatively colder weather or higher propane prices during the winter heating season are factors that could significantly increase our working capital requirements.</w:t>
      </w:r>
    </w:p>
    <w:p>
      <w:pPr>
        <w:spacing w:after="0" w:line="87"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Our ability to satisfy our obligations is dependent upon our future performance, which will be subject to prevailing weather, economic, financial and business conditions and other factors, many of which are beyond our control. Due to the seasonality of the retail propane distribution business, a significant portion of our propane operations and related products cash flows from operations is generated during the winter heating season.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operations and related equipment sales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Activities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Ferrellgas Partners</w:t>
      </w:r>
    </w:p>
    <w:p>
      <w:pPr>
        <w:spacing w:after="0" w:line="150"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Net cash provided by operating activities was $103.0 million for the nine months ended April 30, 2021, compared to net cash provided by operating activities of $115.8 million for the nine months ended April 30, 2020. This decrease in cash provided by operating activities was primarily due to a $52.8 million increase in working capital requirements, partially offset by a $33.7 million increase in cash flow from operations and a $6.3 million inflow associated with other assets and other liabilities.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5" w:name="page86"/>
    <w:bookmarkEnd w:id="8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increase in working capital requirements for the nine months ended April 30, 2021 compared to the nine months ended April 30, 2020 was primarily due to an $45.7 million decrease in accrued interest expense related to the timing and nature of the restructuring transaction in March 2021 and the debt refinancing in April 2020, a $45.6 million increase in requirements for accounts and notes receivable due to rising propane prices in the quarter that was partially offset by slight decreases in volume of propane sold and a $12.3 million increase in requirements for inventory partially due to rising propane prices in the current period, partially offset by a $39.2 million decrease in requirements for other current liabilities and a $16.3 million decrease in accounts payable.</w:t>
      </w:r>
    </w:p>
    <w:p>
      <w:pPr>
        <w:spacing w:after="0" w:line="128"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The increase in cash flow from operations was primarily due to a $44.0 million increase in gross profit and a net decrease in “Operating expense – personnel, vehicle, plant and other” and “Operating expense – equipment lease expense” of $19.7 million, partially offset by a $12.3 million increase in “General and administrative expense”, a $10.2 million increase in “Reorganization items, net” and a $10.1 million increase in "Interest expense".</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The operating partnership</w:t>
      </w:r>
    </w:p>
    <w:p>
      <w:pPr>
        <w:spacing w:after="0" w:line="150"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Net cash provided by operating activities was $110.3 million for the nine months ended April 30, 2021, compared to net cash provided by operating activities of $131.3 million for the nine months ended April 30, 2020. This decrease in cash provided by operating activities was primarily due to a $62.0 million decrease in working capital requirements, partially offset by a $35.9 million increase in cash flow from operations and a $5.0 million inflow associated with other assets and other liabilities.</w:t>
      </w:r>
    </w:p>
    <w:p>
      <w:pPr>
        <w:spacing w:after="0" w:line="122"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increase in working capital requirements for the nine months ended April 30, 2021 compared to the nine months ended April 30, 2020 was primarily due to an $51.8 million decrease in accrued interest expense related to the timing and nature of the restructuring transaction in March 2021 and the debt refinancing in April 2020, a $45.6 million increase in requirements for accounts and notes receivable due to rising propane prices in the quarter that was partially offset by slight decreases in volume of propane sold and a $12.3 million increase in requirements for inventory partially due to rising propane prices in the current period, partially offset by a $36.0 million decrease in requirements for other current liabilities and a $16.3 million decrease in accounts payable.</w:t>
      </w:r>
    </w:p>
    <w:p>
      <w:pPr>
        <w:spacing w:after="0" w:line="128"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The increase in cash flow from operations was primarily due to a $44.0 million increase in gross profit and a net decrease in “Operating expense – personnel, vehicle, plant and other” and “Operating expense – equipment lease expense” of $19.7 million, partially offset by a $21.7 million increase in "Interest expense" and a $12.2 million increase in “General and administrative expense”.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Investing Activities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Ferrellgas Partners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 Requirements</w:t>
      </w:r>
    </w:p>
    <w:p>
      <w:pPr>
        <w:spacing w:after="0" w:line="150"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Our business requires continual investments to upgrade or enhance existing operations and to ensure compliance with safety and environmental regulations. Capital expenditures for our business consist primarily of:</w:t>
      </w:r>
    </w:p>
    <w:p>
      <w:pPr>
        <w:spacing w:after="0" w:line="115" w:lineRule="exact"/>
        <w:rPr>
          <w:sz w:val="20"/>
          <w:szCs w:val="20"/>
          <w:color w:val="auto"/>
        </w:rPr>
      </w:pPr>
    </w:p>
    <w:p>
      <w:pPr>
        <w:ind w:left="480" w:right="99" w:hanging="224"/>
        <w:spacing w:after="0" w:line="263"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Maintenance capital expenditures. These capital expenditures include expenditures for betterment and replacement of property, plant and equipment, and from time to time may include the purchase of assets that are typically leased, rather than to generate incremental distributable cash flow. Examples of maintenance capital expenditures include a routine replacement of a worn-out asset or replacement of major vehicle components; and</w:t>
      </w:r>
    </w:p>
    <w:p>
      <w:pPr>
        <w:spacing w:after="0" w:line="122" w:lineRule="exact"/>
        <w:rPr>
          <w:rFonts w:ascii="Arial" w:cs="Arial" w:eastAsia="Arial" w:hAnsi="Arial"/>
          <w:sz w:val="12"/>
          <w:szCs w:val="12"/>
          <w:color w:val="auto"/>
        </w:rPr>
      </w:pPr>
    </w:p>
    <w:p>
      <w:pPr>
        <w:ind w:left="480" w:right="99" w:hanging="224"/>
        <w:spacing w:after="0" w:line="276"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Growth capital expenditures. These expenditures are undertaken primarily to generate incremental distributable cash flow. Examples include expenditures for purchases of both bulk and portable propane tanks and other equipment to facilitate expansion of our customer base and operating capacity.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6" w:name="page87"/>
    <w:bookmarkEnd w:id="8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Net cash used in investing activities was $47.0 million for the nine months ended April 30, 2021, compared to net cash used in investing activities of $76.2 million for the nine months ended April 30, 2020. This decrease in net cash used in investing activities was primarily due to a $36.4 million decrease in “Cash payments to construct assets in connection with future lease transactions”, a $6.8 million decrease in “Capital expenditures” and a $6.4 million decrease in “Business acquisitions, net of cash acquired”, partially offset by a $21.6 million decrease in “Cash receipts in connection with leased vehicles”.</w:t>
      </w:r>
    </w:p>
    <w:p>
      <w:pPr>
        <w:spacing w:after="0" w:line="124"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The decrease in "Capital expenditures" was primarily due to a decrease financing the construction of assets with cash, a decrease in maintenance capital expenditures, and to a lesser extent a decrease in growth capital expenditures during the nine months ended April 30, 2021 compared to the nine months ended April 30, 2020. The decrease in both growth and maintenance capital expenditures was primarily due to more effective use of equipment on hand. This was especially noticeable in tank and cylinders, but also had an impact in vehicles and storage facilities.</w:t>
      </w:r>
    </w:p>
    <w:p>
      <w:pPr>
        <w:spacing w:after="0" w:line="124"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Due to the mature nature of our operations we do not anticipate significant fluctuations in maintenance capital expenditures, with the exception of future decisions regarding lease versus buy financing options. However, future fluctuations in growth capital expenditures could occur due to the opportunistic nature of these projects.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The operating partnership</w:t>
      </w:r>
    </w:p>
    <w:p>
      <w:pPr>
        <w:spacing w:after="0" w:line="150"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The investing activities discussed above also apply to the operating partnership, other than the $19.9 million term loan credit agreement with Ferrellgas Partners, L.P. See “Disclosures about Effects of Transactions with Related Parties” below for further discussion.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Financing Activities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Ferrellgas Partners</w:t>
      </w:r>
    </w:p>
    <w:p>
      <w:pPr>
        <w:spacing w:after="0" w:line="150" w:lineRule="exact"/>
        <w:rPr>
          <w:sz w:val="20"/>
          <w:szCs w:val="20"/>
          <w:color w:val="auto"/>
        </w:rPr>
      </w:pPr>
    </w:p>
    <w:p>
      <w:pPr>
        <w:ind w:left="20" w:right="39"/>
        <w:spacing w:after="0" w:line="254" w:lineRule="auto"/>
        <w:rPr>
          <w:sz w:val="20"/>
          <w:szCs w:val="20"/>
          <w:color w:val="auto"/>
        </w:rPr>
      </w:pPr>
      <w:r>
        <w:rPr>
          <w:rFonts w:ascii="Arial" w:cs="Arial" w:eastAsia="Arial" w:hAnsi="Arial"/>
          <w:sz w:val="12"/>
          <w:szCs w:val="12"/>
          <w:color w:val="auto"/>
        </w:rPr>
        <w:t>Net cash used in financing activities was $166.9 million for the nine months ended April 30, 2021, compared to net cash provided by financing activities of $268.2 million for the nine months ended April 30, 2020. This decrease in cash flow provided by financing activities was primarily due to a $1,893.7 million increase in payments for settlement and early extinguishment of liabilities due to the redemption of the 2021 Notes, the 2022 Notes, the 2023 Notes and the 2025 Notes (as discussed further in Note F – Debt), a $67.5 million increase in payments of redemption premiums related to those extinguishments of liabilities, a $16.8 million increase in cash paid for financing costs and a $4.3 million increase in cash payments for the principal portion of finance lease liabilities, partially offset by a $771.3 million increase in proceeds from the debt offering due to the issuance of the 2026 Notes and the 2029 Notes, a $670.4 million increase in proceeds from the sale of the Preferred Units, net of offering costs and issue discount and a $105.0 million net decrease in short-term borrowings in fiscal 2020 that was not repeated in fiscal 2021.</w:t>
      </w:r>
    </w:p>
    <w:p>
      <w:pPr>
        <w:spacing w:after="0" w:line="130" w:lineRule="exact"/>
        <w:rPr>
          <w:sz w:val="20"/>
          <w:szCs w:val="20"/>
          <w:color w:val="auto"/>
        </w:rPr>
      </w:pPr>
    </w:p>
    <w:p>
      <w:pPr>
        <w:ind w:left="20" w:right="139"/>
        <w:spacing w:after="0" w:line="256" w:lineRule="auto"/>
        <w:rPr>
          <w:sz w:val="20"/>
          <w:szCs w:val="20"/>
          <w:color w:val="auto"/>
        </w:rPr>
      </w:pPr>
      <w:r>
        <w:rPr>
          <w:rFonts w:ascii="Arial" w:cs="Arial" w:eastAsia="Arial" w:hAnsi="Arial"/>
          <w:sz w:val="12"/>
          <w:szCs w:val="12"/>
          <w:color w:val="auto"/>
        </w:rPr>
        <w:t>Letters of credit outstanding at April 30, 2021 and July 31, 2020 totaled $138.2 million and $126.0 million, respectively, and were used to secure insurance arrangements, product purchases and commodity hedges. As of April 30, 2021, we had available borrowing capacity under our Credit Facility of $211.8 million, which included remaining available letter of credit capacity of $86.8 million. At July 31, 2020, we did not have in place a credit facility providing for the issuance of letters of credit and had $78.2 million of restricted cash pledged as cash collateral for letters of credit outstanding. Additionally, at July 31, 2020, we also issued letters of credit of $50.0 million by utilizing our liquidity available on the terminated accounts receivable securitization facility.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Accounts receivable securitization facility</w:t>
      </w:r>
    </w:p>
    <w:p>
      <w:pPr>
        <w:spacing w:after="0" w:line="150"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On March 30, 2021, Ferrellgas terminated the agreement governing the accounts receivable securitization facility, initially dated as of January 19, 2012 and as subsequently amended from time to time (the “Accounts Receivables Facility”). In connection with the termination of the Accounts Receivables Facility, Ferrellgas repaid all of the outstanding obligations and fees thereunder.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7" w:name="page88"/>
    <w:bookmarkEnd w:id="8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Distributions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Partnership distributions</w:t>
      </w:r>
    </w:p>
    <w:p>
      <w:pPr>
        <w:spacing w:after="0" w:line="150"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Pursuant to the Amended Ferrellgas Partners LPA, distributions by Ferrellgas Partners to its partners are required to be made such that the ratio of (i) the amount of distributions made to holders of Class B Units to (ii) the amount of distributions made to holders of Class A Units and the general partner is not less than 6:1 until holders of Class B Units receive distributions in the aggregate amount equaling $357.0 million (which was the outstanding principal amount of the Ferrellgas Partners Notes), upon receipt of which the operating partnership may elect to convert the Class B Units (or under certain circumstances the Class B Units will automatically convert) to Class A Units at the applicable conversion rate described in the Amended Ferrellgas Partners LPA. See Note H – Equity for additional discussion.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Ferrellgas Partners does not intend to pay any distributions to Class B Unitholders, Class A Unitholders or the general partner for the three months ended April 30, 2021.</w:t>
      </w:r>
    </w:p>
    <w:p>
      <w:pPr>
        <w:spacing w:after="0" w:line="150"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The ability of Ferrellgas Partners to make cash distributions to its Class A Unitholders and Class B Unitholders is dependent on the receipt by Ferrellgas Partners of cash distributions from the operating partnership. For so long as any Preferred Units remain outstanding, the amount of cash that otherwise would be available for distribution by the operating partnership to Ferrellgas Partners and the general partner will be reduced by the amount of cash distributions and other payments made by the operating partnership in respect of the Preferred Units, including payments to redeem Preferred Units. Further, the indentures governing the 2026 Notes and 2029 Notes, the Credit Agreement and the OpCo LPA Amendment governing the Preferred Units contain covenants that limit the ability of the operating partnership to make distributions to Ferrellgas Partners and therefore effectively limit the ability of Ferrellgas Partners to make distributions to its Class A Unitholders and Class B Unitholders. See Note F – Debt and Note G – Preferred units for a discussion of these limitations. See also “Risk Factors— Our ability to make cash distributions to holders of Class A Units and Class B Units is dependent on the receipt by Ferrellgas Partners of cash distributions from the operating partnership, which are limited by our obligations in respect of the Preferred Units and the terms of the indentures governing the 2026 Notes and 2029 Notes, the Credit Agreement and the OpCo LPA Amendment governing the Preferred Units and may be limited by a variety of other factors. Accordingly, we may be unable to make cash distributions to holders of Class A Units and Class B Units, and we do not anticipate making any such cash distributions in the near future.”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Preferred unit distributions</w:t>
      </w:r>
    </w:p>
    <w:p>
      <w:pPr>
        <w:spacing w:after="0" w:line="132"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Pursuant to the OpCo LPA Amendment, the operating partnership will pay to the holders of each Preferred Unit a cumulative, quarterly distribution (the "Quarterly Distribution") at the Distribution Rate (as defined below) on the unit purchase price of such Preferred Unit, which is $1,000 per unit.</w:t>
      </w:r>
    </w:p>
    <w:p>
      <w:pPr>
        <w:spacing w:after="0" w:line="84" w:lineRule="exact"/>
        <w:rPr>
          <w:sz w:val="20"/>
          <w:szCs w:val="20"/>
          <w:color w:val="auto"/>
        </w:rPr>
      </w:pPr>
    </w:p>
    <w:p>
      <w:pPr>
        <w:ind w:left="20" w:right="439"/>
        <w:spacing w:after="0" w:line="292" w:lineRule="auto"/>
        <w:rPr>
          <w:sz w:val="20"/>
          <w:szCs w:val="20"/>
          <w:color w:val="auto"/>
        </w:rPr>
      </w:pPr>
      <w:r>
        <w:rPr>
          <w:rFonts w:ascii="Arial" w:cs="Arial" w:eastAsia="Arial" w:hAnsi="Arial"/>
          <w:sz w:val="12"/>
          <w:szCs w:val="12"/>
          <w:color w:val="auto"/>
        </w:rPr>
        <w:t>"Distribution Rate" means, for the first five years after March 30, 2021, a rate per annum equal to 8.956%, with certain increases in the Distribution Rate on each of the 5</w:t>
      </w:r>
      <w:r>
        <w:rPr>
          <w:rFonts w:ascii="Arial" w:cs="Arial" w:eastAsia="Arial" w:hAnsi="Arial"/>
          <w:sz w:val="13"/>
          <w:szCs w:val="13"/>
          <w:color w:val="auto"/>
          <w:vertAlign w:val="superscript"/>
        </w:rPr>
        <w:t>th</w:t>
      </w:r>
      <w:r>
        <w:rPr>
          <w:rFonts w:ascii="Arial" w:cs="Arial" w:eastAsia="Arial" w:hAnsi="Arial"/>
          <w:sz w:val="12"/>
          <w:szCs w:val="12"/>
          <w:color w:val="auto"/>
        </w:rPr>
        <w:t>, 6</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and 7</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anniversaries of March 30, 2021, subject to a maximum rate of 11.125% and certain other adjustments and exceptions.</w:t>
      </w:r>
    </w:p>
    <w:p>
      <w:pPr>
        <w:spacing w:after="0" w:line="58" w:lineRule="exact"/>
        <w:rPr>
          <w:sz w:val="20"/>
          <w:szCs w:val="20"/>
          <w:color w:val="auto"/>
        </w:rPr>
      </w:pPr>
    </w:p>
    <w:p>
      <w:pPr>
        <w:ind w:left="20" w:right="59"/>
        <w:spacing w:after="0" w:line="340" w:lineRule="auto"/>
        <w:rPr>
          <w:sz w:val="20"/>
          <w:szCs w:val="20"/>
          <w:color w:val="auto"/>
        </w:rPr>
      </w:pPr>
      <w:r>
        <w:rPr>
          <w:rFonts w:ascii="Arial" w:cs="Arial" w:eastAsia="Arial" w:hAnsi="Arial"/>
          <w:sz w:val="10"/>
          <w:szCs w:val="10"/>
          <w:color w:val="auto"/>
        </w:rPr>
        <w:t>The Quarterly Distribution will be paid in cash; provided, that the operating partnership may, at its option in its sole discretion, pay any Quarterly Distribution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spacing w:after="0" w:line="69"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The Distribution Rate on the Preferred Units will increase upon violation of certain protective provisions for the benefit of Preferred Unit holders notwithstanding the cap mentioned above.</w:t>
      </w:r>
    </w:p>
    <w:p>
      <w:pPr>
        <w:spacing w:after="0" w:line="88"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As of April 30, 2021 the Quarterly Distribution accrued was $8.0 million, reflecting a prorated distribution amount for the period from the Effective Date to April 30, and the Quarterly Distribution in that amount was paid in cash to holders of Preferred Units on May 17,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8" w:name="page89"/>
    <w:bookmarkEnd w:id="8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Preferred unit tax distributions</w:t>
      </w:r>
    </w:p>
    <w:p>
      <w:pPr>
        <w:spacing w:after="0" w:line="132" w:lineRule="exact"/>
        <w:rPr>
          <w:sz w:val="20"/>
          <w:szCs w:val="20"/>
          <w:color w:val="auto"/>
        </w:rPr>
      </w:pPr>
    </w:p>
    <w:p>
      <w:pPr>
        <w:ind w:left="20" w:right="79"/>
        <w:spacing w:after="0" w:line="254" w:lineRule="auto"/>
        <w:rPr>
          <w:sz w:val="20"/>
          <w:szCs w:val="20"/>
          <w:color w:val="auto"/>
        </w:rPr>
      </w:pPr>
      <w:r>
        <w:rPr>
          <w:rFonts w:ascii="Arial" w:cs="Arial" w:eastAsia="Arial" w:hAnsi="Arial"/>
          <w:sz w:val="12"/>
          <w:szCs w:val="12"/>
          <w:color w:val="auto"/>
        </w:rPr>
        <w:t>For any quarter in which the operating partnership makes a Quarterly Distribution in PIK Units in lieu of cash, it shall make a subsequent cash tax distribution for such quarter in an amount equal to the (i) the lesser of (x) 25% and (y) the highest combined federal, state and local tax rate applicable for corporations organized in New York, multiplied by (ii) 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The operating partnership</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The financing activities discussed above also apply to the operating partnership except for cash flows related to distributions paid, as discussed below, as well as fees paid for the Class B units exchange and amounts related to the termination of the Ferrellgas Partners Notes.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u w:val="single" w:color="auto"/>
          <w:color w:val="auto"/>
        </w:rPr>
        <w:t>Cash distributions paid</w:t>
      </w:r>
    </w:p>
    <w:p>
      <w:pPr>
        <w:spacing w:after="0" w:line="150"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The operating partnership did not pay cash distributions during the nine months ended April 30, 2021. The operating partnership paid cash distributions of $15.7 million during the nine months ended April 30, 2020.</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Disclosures about Effects of Transactions with Related Parties</w:t>
      </w:r>
    </w:p>
    <w:p>
      <w:pPr>
        <w:spacing w:after="0" w:line="154" w:lineRule="exact"/>
        <w:rPr>
          <w:sz w:val="20"/>
          <w:szCs w:val="20"/>
          <w:color w:val="auto"/>
        </w:rPr>
      </w:pPr>
    </w:p>
    <w:p>
      <w:pPr>
        <w:ind w:left="20" w:right="139"/>
        <w:spacing w:after="0" w:line="289" w:lineRule="auto"/>
        <w:rPr>
          <w:sz w:val="20"/>
          <w:szCs w:val="20"/>
          <w:color w:val="auto"/>
        </w:rPr>
      </w:pPr>
      <w:r>
        <w:rPr>
          <w:rFonts w:ascii="Arial" w:cs="Arial" w:eastAsia="Arial" w:hAnsi="Arial"/>
          <w:sz w:val="11"/>
          <w:szCs w:val="11"/>
          <w:color w:val="auto"/>
        </w:rPr>
        <w:t>We have no employees and are managed and controlled by our general partner. Pursuant to our partnership agreements,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$219.2 million for the nine months ended April 30, 2021, include operating expenses such as compensation and benefits paid to employees of our general partner who perform services on our behalf as well as related general and administrative expenses.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the three months ended April 30, 2021, Ferrellgas Partners and the operating partnership did not pay distributions.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Term loan credit agreement between Ferrellgas Partners, L.P. and Ferrellgas, L.P.</w:t>
      </w:r>
    </w:p>
    <w:p>
      <w:pPr>
        <w:spacing w:after="0" w:line="150" w:lineRule="exact"/>
        <w:rPr>
          <w:sz w:val="20"/>
          <w:szCs w:val="20"/>
          <w:color w:val="auto"/>
        </w:rPr>
      </w:pPr>
    </w:p>
    <w:p>
      <w:pPr>
        <w:ind w:left="20" w:right="199"/>
        <w:spacing w:after="0" w:line="259" w:lineRule="auto"/>
        <w:rPr>
          <w:sz w:val="20"/>
          <w:szCs w:val="20"/>
          <w:color w:val="auto"/>
        </w:rPr>
      </w:pPr>
      <w:r>
        <w:rPr>
          <w:rFonts w:ascii="Arial" w:cs="Arial" w:eastAsia="Arial" w:hAnsi="Arial"/>
          <w:sz w:val="12"/>
          <w:szCs w:val="12"/>
          <w:color w:val="auto"/>
        </w:rPr>
        <w:t>As discussed in Note L – Transactions with related parties in the notes to the condensed consolidated financial statements of the operating partnership, on January 8, 2021 Ferrellgas Partners, L.P. entered into a term loan credit agreement with Ferrellgas, L.P., pursuant to which Ferrellgas, L.P. extended to Ferrellgas Partners, L.P. an unsecured, non-amortizing term loan in the aggregate principal amount of $19.9 million. The term loan bears interest at a rate of 20% per annum, and all interest on the term loan will be added to the outstanding principal amount of the term loan. The term loan will mature on July 1, 2022.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9" w:name="page90"/>
    <w:bookmarkEnd w:id="8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the performance of our operations, we are bound by certain contractual obligations.</w:t>
      </w:r>
    </w:p>
    <w:p>
      <w:pPr>
        <w:spacing w:after="0" w:line="150" w:lineRule="exact"/>
        <w:rPr>
          <w:sz w:val="20"/>
          <w:szCs w:val="20"/>
          <w:color w:val="auto"/>
        </w:rPr>
      </w:pPr>
    </w:p>
    <w:p>
      <w:pPr>
        <w:ind w:left="20" w:right="219"/>
        <w:spacing w:after="0" w:line="323" w:lineRule="auto"/>
        <w:rPr>
          <w:sz w:val="20"/>
          <w:szCs w:val="20"/>
          <w:color w:val="auto"/>
        </w:rPr>
      </w:pPr>
      <w:r>
        <w:rPr>
          <w:rFonts w:ascii="Arial" w:cs="Arial" w:eastAsia="Arial" w:hAnsi="Arial"/>
          <w:sz w:val="11"/>
          <w:szCs w:val="11"/>
          <w:color w:val="auto"/>
        </w:rPr>
        <w:t>The following table summarizes our long-term debt, including current portion, and fixed rate interest obligations at April 30, 2021. These obligations reflect the issuance of the $650.0 million aggregate principal amount of 5.375% senior notes due 2026 and the $825.0 million aggregate principal amount of 5.875% senior notes due 2029.</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8"/>
          </w:tcPr>
          <w:p>
            <w:pPr>
              <w:ind w:left="240"/>
              <w:spacing w:after="0"/>
              <w:rPr>
                <w:sz w:val="20"/>
                <w:szCs w:val="20"/>
                <w:color w:val="auto"/>
              </w:rPr>
            </w:pPr>
            <w:r>
              <w:rPr>
                <w:rFonts w:ascii="Arial" w:cs="Arial" w:eastAsia="Arial" w:hAnsi="Arial"/>
                <w:sz w:val="12"/>
                <w:szCs w:val="12"/>
                <w:b w:val="1"/>
                <w:bCs w:val="1"/>
                <w:color w:val="auto"/>
                <w:w w:val="92"/>
              </w:rPr>
              <w:t>Payment or settlement due by fiscal year</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04"/>
              <w:spacing w:after="0"/>
              <w:rPr>
                <w:sz w:val="20"/>
                <w:szCs w:val="20"/>
                <w:color w:val="auto"/>
              </w:rPr>
            </w:pPr>
            <w:r>
              <w:rPr>
                <w:rFonts w:ascii="Arial" w:cs="Arial" w:eastAsia="Arial" w:hAnsi="Arial"/>
                <w:sz w:val="10"/>
                <w:szCs w:val="10"/>
                <w:b w:val="1"/>
                <w:bCs w:val="1"/>
                <w:color w:val="auto"/>
              </w:rPr>
              <w:t>2021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204"/>
              <w:spacing w:after="0"/>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203"/>
              <w:spacing w:after="0"/>
              <w:rPr>
                <w:sz w:val="20"/>
                <w:szCs w:val="20"/>
                <w:color w:val="auto"/>
              </w:rPr>
            </w:pPr>
            <w:r>
              <w:rPr>
                <w:rFonts w:ascii="Arial" w:cs="Arial" w:eastAsia="Arial" w:hAnsi="Arial"/>
                <w:sz w:val="10"/>
                <w:szCs w:val="10"/>
                <w:b w:val="1"/>
                <w:bCs w:val="1"/>
                <w:color w:val="auto"/>
              </w:rPr>
              <w:t>2023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04"/>
              <w:spacing w:after="0"/>
              <w:rPr>
                <w:sz w:val="20"/>
                <w:szCs w:val="20"/>
                <w:color w:val="auto"/>
              </w:rPr>
            </w:pPr>
            <w:r>
              <w:rPr>
                <w:rFonts w:ascii="Arial" w:cs="Arial" w:eastAsia="Arial" w:hAnsi="Arial"/>
                <w:sz w:val="10"/>
                <w:szCs w:val="10"/>
                <w:b w:val="1"/>
                <w:bCs w:val="1"/>
                <w:color w:val="auto"/>
              </w:rPr>
              <w:t>2024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04"/>
              <w:spacing w:after="0"/>
              <w:rPr>
                <w:sz w:val="20"/>
                <w:szCs w:val="20"/>
                <w:color w:val="auto"/>
              </w:rPr>
            </w:pPr>
            <w:r>
              <w:rPr>
                <w:rFonts w:ascii="Arial" w:cs="Arial" w:eastAsia="Arial" w:hAnsi="Arial"/>
                <w:sz w:val="10"/>
                <w:szCs w:val="10"/>
                <w:b w:val="1"/>
                <w:bCs w:val="1"/>
                <w:color w:val="auto"/>
              </w:rPr>
              <w:t>2025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0"/>
                <w:szCs w:val="10"/>
                <w:b w:val="1"/>
                <w:bCs w:val="1"/>
                <w:color w:val="auto"/>
              </w:rPr>
              <w:t>Thereafter</w:t>
            </w:r>
          </w:p>
        </w:tc>
        <w:tc>
          <w:tcPr>
            <w:tcW w:w="1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24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Long-term debt, including current portion (1)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1,335</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899</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1,475,019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ind w:right="104"/>
              <w:spacing w:after="0" w:line="133" w:lineRule="exact"/>
              <w:rPr>
                <w:sz w:val="20"/>
                <w:szCs w:val="20"/>
                <w:color w:val="auto"/>
              </w:rPr>
            </w:pPr>
            <w:r>
              <w:rPr>
                <w:rFonts w:ascii="Arial" w:cs="Arial" w:eastAsia="Arial" w:hAnsi="Arial"/>
                <w:sz w:val="12"/>
                <w:szCs w:val="12"/>
                <w:color w:val="auto"/>
              </w:rPr>
              <w:t>1,478,361</w:t>
            </w:r>
          </w:p>
        </w:tc>
        <w:tc>
          <w:tcPr>
            <w:tcW w:w="0" w:type="dxa"/>
            <w:vAlign w:val="bottom"/>
          </w:tcPr>
          <w:p>
            <w:pPr>
              <w:spacing w:after="0"/>
              <w:rPr>
                <w:sz w:val="1"/>
                <w:szCs w:val="1"/>
                <w:color w:val="auto"/>
              </w:rPr>
            </w:pPr>
          </w:p>
        </w:tc>
      </w:tr>
      <w:tr>
        <w:trPr>
          <w:trHeight w:val="153"/>
        </w:trPr>
        <w:tc>
          <w:tcPr>
            <w:tcW w:w="2620" w:type="dxa"/>
            <w:vAlign w:val="bottom"/>
            <w:gridSpan w:val="2"/>
          </w:tcPr>
          <w:p>
            <w:pPr>
              <w:spacing w:after="0"/>
              <w:rPr>
                <w:sz w:val="20"/>
                <w:szCs w:val="20"/>
                <w:color w:val="auto"/>
              </w:rPr>
            </w:pPr>
            <w:r>
              <w:rPr>
                <w:rFonts w:ascii="Arial" w:cs="Arial" w:eastAsia="Arial" w:hAnsi="Arial"/>
                <w:sz w:val="12"/>
                <w:szCs w:val="12"/>
                <w:color w:val="auto"/>
              </w:rPr>
              <w:t>Fixed rate interest obligations (2)</w:t>
            </w:r>
          </w:p>
        </w:tc>
        <w:tc>
          <w:tcPr>
            <w:tcW w:w="1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84,333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83,406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83,406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83,406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228,813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44"/>
              <w:spacing w:after="0"/>
              <w:rPr>
                <w:sz w:val="20"/>
                <w:szCs w:val="20"/>
                <w:color w:val="auto"/>
              </w:rPr>
            </w:pPr>
            <w:r>
              <w:rPr>
                <w:rFonts w:ascii="Arial" w:cs="Arial" w:eastAsia="Arial" w:hAnsi="Arial"/>
                <w:sz w:val="12"/>
                <w:szCs w:val="12"/>
                <w:color w:val="auto"/>
              </w:rPr>
              <w:t>563,364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right="119" w:hanging="224"/>
        <w:spacing w:after="0" w:line="263" w:lineRule="auto"/>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We have long and short-term payment obligations under agreements such as the indentures governing our senior notes. Amounts shown in the table represent our scheduled future maturities of long-term debt (including current maturities thereof) for the periods indicated. For additional information regarding our debt obligations, see “Liquidity and Capital Resources – Financing Activities.”</w:t>
      </w:r>
    </w:p>
    <w:p>
      <w:pPr>
        <w:spacing w:after="0" w:line="122" w:lineRule="exact"/>
        <w:rPr>
          <w:rFonts w:ascii="Arial" w:cs="Arial" w:eastAsia="Arial" w:hAnsi="Arial"/>
          <w:sz w:val="12"/>
          <w:szCs w:val="12"/>
          <w:color w:val="auto"/>
        </w:rPr>
      </w:pPr>
    </w:p>
    <w:p>
      <w:pPr>
        <w:ind w:left="480" w:hanging="224"/>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Fixed rate interest obligations represent the amount of interest due on fixed rate long-term debt.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The operating partnership</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contractual obligations discussed above also apply to the operating partnership.</w:t>
      </w:r>
    </w:p>
    <w:p>
      <w:pPr>
        <w:spacing w:after="0" w:line="14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3.</w:t>
        <w:tab/>
        <w:t>QUANTITATIVE AND QUALITATIVE DISCLOSURES ABOUT MARKET RISK</w:t>
      </w:r>
    </w:p>
    <w:p>
      <w:pPr>
        <w:spacing w:after="0" w:line="154"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We did not enter into any risk management trading activities during the three months ended April 30, 2021. Our remaining market risk sensitive instruments and positions have been determined to be “other than trading.”</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Commodity price risk management</w:t>
      </w:r>
    </w:p>
    <w:p>
      <w:pPr>
        <w:spacing w:after="0" w:line="150" w:lineRule="exact"/>
        <w:rPr>
          <w:sz w:val="20"/>
          <w:szCs w:val="20"/>
          <w:color w:val="auto"/>
        </w:rPr>
      </w:pPr>
    </w:p>
    <w:p>
      <w:pPr>
        <w:ind w:left="20" w:right="279"/>
        <w:spacing w:after="0" w:line="379" w:lineRule="auto"/>
        <w:rPr>
          <w:sz w:val="20"/>
          <w:szCs w:val="20"/>
          <w:color w:val="auto"/>
        </w:rPr>
      </w:pPr>
      <w:r>
        <w:rPr>
          <w:rFonts w:ascii="Arial" w:cs="Arial" w:eastAsia="Arial" w:hAnsi="Arial"/>
          <w:sz w:val="10"/>
          <w:szCs w:val="10"/>
          <w:color w:val="auto"/>
        </w:rPr>
        <w:t>Our risk management activities primarily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w:t>
      </w:r>
    </w:p>
    <w:p>
      <w:pPr>
        <w:spacing w:after="0" w:line="69"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Propane related financial derivatives are designated as cash flow hedges.</w:t>
      </w:r>
    </w:p>
    <w:p>
      <w:pPr>
        <w:spacing w:after="0" w:line="122" w:lineRule="exact"/>
        <w:rPr>
          <w:sz w:val="20"/>
          <w:szCs w:val="20"/>
          <w:color w:val="auto"/>
        </w:rPr>
      </w:pPr>
    </w:p>
    <w:p>
      <w:pPr>
        <w:ind w:left="20" w:right="239"/>
        <w:spacing w:after="0" w:line="256" w:lineRule="auto"/>
        <w:rPr>
          <w:sz w:val="20"/>
          <w:szCs w:val="20"/>
          <w:color w:val="auto"/>
        </w:rPr>
      </w:pPr>
      <w:r>
        <w:rPr>
          <w:rFonts w:ascii="Arial" w:cs="Arial" w:eastAsia="Arial" w:hAnsi="Arial"/>
          <w:sz w:val="12"/>
          <w:szCs w:val="12"/>
          <w:color w:val="auto"/>
        </w:rPr>
        <w:t>Our risk management activities include the use of financial derivative instruments including, but not limited to, price futures, swaps, options and basis swaps to seek protection from adverse price movements and to minimize potential losses. We enter into these financial derivative instruments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 exception within GAAP guidance and are therefore not recorded on our financial statements until settled.</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Transportation Fuel Price Risk</w:t>
      </w:r>
    </w:p>
    <w:p>
      <w:pPr>
        <w:spacing w:after="0" w:line="150"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color w:val="auto"/>
        </w:rPr>
        <w:t>From time to time, our risk management activities also attempt to mitigate price risks related to the purchase of gasoline and diesel fuel for use in the transport of propane from retail fueling stations. When employed, we attempt to mitigate these price risks through the use of financial derivative instruments.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0" w:name="page91"/>
    <w:bookmarkEnd w:id="9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When employed, our risk management strategy involves taking positions in the financial markets that are not more than the forecasted purchases of fuel for our internal use in the retail and supply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Risk Policy and Sensitivity Analysis</w:t>
      </w:r>
    </w:p>
    <w:p>
      <w:pPr>
        <w:spacing w:after="0" w:line="150" w:lineRule="exact"/>
        <w:rPr>
          <w:sz w:val="20"/>
          <w:szCs w:val="20"/>
          <w:color w:val="auto"/>
        </w:rPr>
      </w:pPr>
    </w:p>
    <w:p>
      <w:pPr>
        <w:ind w:left="20" w:right="339"/>
        <w:spacing w:after="0" w:line="263" w:lineRule="auto"/>
        <w:rPr>
          <w:sz w:val="20"/>
          <w:szCs w:val="20"/>
          <w:color w:val="auto"/>
        </w:rPr>
      </w:pPr>
      <w:r>
        <w:rPr>
          <w:rFonts w:ascii="Arial" w:cs="Arial" w:eastAsia="Arial" w:hAnsi="Arial"/>
          <w:sz w:val="12"/>
          <w:szCs w:val="12"/>
          <w:color w:val="auto"/>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spacing w:after="0" w:line="122" w:lineRule="exact"/>
        <w:rPr>
          <w:sz w:val="20"/>
          <w:szCs w:val="20"/>
          <w:color w:val="auto"/>
        </w:rPr>
      </w:pPr>
    </w:p>
    <w:p>
      <w:pPr>
        <w:ind w:left="20" w:right="119"/>
        <w:spacing w:after="0" w:line="320" w:lineRule="auto"/>
        <w:rPr>
          <w:sz w:val="20"/>
          <w:szCs w:val="20"/>
          <w:color w:val="auto"/>
        </w:rPr>
      </w:pPr>
      <w:r>
        <w:rPr>
          <w:rFonts w:ascii="Arial" w:cs="Arial" w:eastAsia="Arial" w:hAnsi="Arial"/>
          <w:sz w:val="10"/>
          <w:szCs w:val="10"/>
          <w:color w:val="auto"/>
        </w:rPr>
        <w:t>We have prepared a sensitivity analysis to estimate the exposure to market risk of our energy commodity positions. Forward contracts, futures, swaps and options outstanding as of April 30, 2021 and July 31, 2020, that were used in our risk management activities were analyzed assuming a hypothetical 10% adverse change in prices for the delivery month for all energy commodities. The potential loss in future earnings from these positions due to a 10% adverse movement in market prices of the underlying energy commodities was estimated at $16.8 million and $8.0 million as of April 30, 2021 and July 31, 2020, respectively. The preceding hypothetical analysis is limited because changes in prices may or may not equal 10%, thus actual results may differ. Our sensitivity analysis does not include the anticipated transactions associated with these transactions, which we anticipate will be 100% effective.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Credit risk</w:t>
      </w:r>
    </w:p>
    <w:p>
      <w:pPr>
        <w:spacing w:after="0" w:line="150"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We maintain credit policies with regard to our counterparties that we believe significantly reduce overall credit risk. These policies include evaluating and monitoring of counterparties’ financial condition (including credit ratings), and entering into agreements with counterparties that govern credit guidelines.</w:t>
      </w:r>
    </w:p>
    <w:p>
      <w:pPr>
        <w:spacing w:after="0" w:line="115"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Our other counterparties principally consist of major energy companies that are suppliers, marketers, wholesalers, retailers and end users; and major U.S.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Interest rate risk</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At April 30, 2021, we had no outstanding cash borrowings under our Credit Facility. Thus, no interest rate risk that would result in a reduction to future earnings.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1" w:name="page92"/>
    <w:bookmarkEnd w:id="9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154" w:lineRule="exact"/>
        <w:rPr>
          <w:sz w:val="20"/>
          <w:szCs w:val="20"/>
          <w:color w:val="auto"/>
        </w:rPr>
      </w:pPr>
    </w:p>
    <w:p>
      <w:pPr>
        <w:ind w:left="20" w:right="179"/>
        <w:spacing w:after="0" w:line="259" w:lineRule="auto"/>
        <w:rPr>
          <w:sz w:val="20"/>
          <w:szCs w:val="20"/>
          <w:color w:val="auto"/>
        </w:rPr>
      </w:pPr>
      <w:r>
        <w:rPr>
          <w:rFonts w:ascii="Arial" w:cs="Arial" w:eastAsia="Arial" w:hAnsi="Arial"/>
          <w:sz w:val="12"/>
          <w:szCs w:val="12"/>
          <w:color w:val="auto"/>
        </w:rPr>
        <w:t>An evaluation was performed by the management of Ferrellgas Partners, L.P., Ferrellgas Partners Finance Corp., Ferrellgas, L.P.,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 as of April 30, 2021.</w:t>
      </w:r>
    </w:p>
    <w:p>
      <w:pPr>
        <w:spacing w:after="0" w:line="124" w:lineRule="exact"/>
        <w:rPr>
          <w:sz w:val="20"/>
          <w:szCs w:val="20"/>
          <w:color w:val="auto"/>
        </w:rPr>
      </w:pPr>
    </w:p>
    <w:p>
      <w:pPr>
        <w:ind w:left="20" w:right="59"/>
        <w:spacing w:after="0" w:line="279" w:lineRule="auto"/>
        <w:rPr>
          <w:sz w:val="20"/>
          <w:szCs w:val="20"/>
          <w:color w:val="auto"/>
        </w:rPr>
      </w:pPr>
      <w:r>
        <w:rPr>
          <w:rFonts w:ascii="Arial" w:cs="Arial" w:eastAsia="Arial" w:hAnsi="Arial"/>
          <w:sz w:val="11"/>
          <w:szCs w:val="11"/>
          <w:color w:val="auto"/>
        </w:rPr>
        <w:t>The management of Ferrellgas Partners, L.P., Ferrellgas Partners Finance Corp., Ferrellgas, L.P.,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April 30, 2021, that our disclosure controls and procedures are effective in achieving that level of reasonable assurance.</w:t>
      </w:r>
    </w:p>
    <w:p>
      <w:pPr>
        <w:spacing w:after="0" w:line="117"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During the most recent fiscal quarter ended April 30, 2021, progress continued on a plan that calls for modifications and enhancements to our internal controls over financial reporting in relation to our implementation of Salesforce.com applications and the impacts on our revenue cycle. Specifically, we implemented/modified internal controls surrounding revenue recognition.</w:t>
      </w:r>
    </w:p>
    <w:p>
      <w:pPr>
        <w:spacing w:after="0" w:line="122" w:lineRule="exact"/>
        <w:rPr>
          <w:sz w:val="20"/>
          <w:szCs w:val="20"/>
          <w:color w:val="auto"/>
        </w:rPr>
      </w:pPr>
    </w:p>
    <w:p>
      <w:pPr>
        <w:ind w:left="20" w:right="259"/>
        <w:spacing w:after="0" w:line="323" w:lineRule="auto"/>
        <w:rPr>
          <w:sz w:val="20"/>
          <w:szCs w:val="20"/>
          <w:color w:val="auto"/>
        </w:rPr>
      </w:pPr>
      <w:r>
        <w:rPr>
          <w:rFonts w:ascii="Arial" w:cs="Arial" w:eastAsia="Arial" w:hAnsi="Arial"/>
          <w:sz w:val="11"/>
          <w:szCs w:val="11"/>
          <w:color w:val="auto"/>
        </w:rPr>
        <w:t>Except as disclosed above, there have been no changes in our internal control over financial reporting (as defined in Rule 13a-15(f) or Rule 15d-15(f) of the Exchange Act) during the fiscal quarter ended April 30, 2021 that have materially affected, or are reasonably likely to materially affect, our internal control over financial reporting.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2" w:name="page93"/>
    <w:bookmarkEnd w:id="9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1.</w:t>
        <w:tab/>
        <w:t>LEGAL PROCEEDINGS</w:t>
      </w:r>
    </w:p>
    <w:p>
      <w:pPr>
        <w:spacing w:after="0" w:line="154" w:lineRule="exact"/>
        <w:rPr>
          <w:sz w:val="20"/>
          <w:szCs w:val="20"/>
          <w:color w:val="auto"/>
        </w:rPr>
      </w:pPr>
    </w:p>
    <w:p>
      <w:pPr>
        <w:ind w:left="20" w:right="619"/>
        <w:spacing w:after="0" w:line="276" w:lineRule="auto"/>
        <w:rPr>
          <w:sz w:val="20"/>
          <w:szCs w:val="20"/>
          <w:color w:val="auto"/>
        </w:rPr>
      </w:pPr>
      <w:r>
        <w:rPr>
          <w:rFonts w:ascii="Arial" w:cs="Arial" w:eastAsia="Arial" w:hAnsi="Arial"/>
          <w:sz w:val="12"/>
          <w:szCs w:val="12"/>
          <w:color w:val="auto"/>
        </w:rPr>
        <w:t>For information regarding legal proceedings, see Note M “Contingencies and commitments” in our condensed consolidated financial statements included in Item 1. “Financial Statements.”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risk factors are provided to update and supplement the risk factors set forth under Part I, Item 1A. “Risk Factors” in our Annual Report on Form 10-K for fiscal 2020.</w:t>
      </w:r>
    </w:p>
    <w:p>
      <w:pPr>
        <w:spacing w:after="0" w:line="162" w:lineRule="exact"/>
        <w:rPr>
          <w:sz w:val="20"/>
          <w:szCs w:val="20"/>
          <w:color w:val="auto"/>
        </w:rPr>
      </w:pPr>
    </w:p>
    <w:p>
      <w:pPr>
        <w:ind w:left="20" w:right="99"/>
        <w:spacing w:after="0" w:line="289" w:lineRule="auto"/>
        <w:rPr>
          <w:sz w:val="20"/>
          <w:szCs w:val="20"/>
          <w:color w:val="auto"/>
        </w:rPr>
      </w:pPr>
      <w:r>
        <w:rPr>
          <w:rFonts w:ascii="Arial" w:cs="Arial" w:eastAsia="Arial" w:hAnsi="Arial"/>
          <w:sz w:val="11"/>
          <w:szCs w:val="11"/>
          <w:b w:val="1"/>
          <w:bCs w:val="1"/>
          <w:i w:val="1"/>
          <w:iCs w:val="1"/>
          <w:color w:val="auto"/>
        </w:rPr>
        <w:t>Our ability to make cash distributions to holders of Class A Units and Class B Units is dependent on the receipt by Ferrellgas Partners of cash distributions from the operating partnership, which are limited by our obligations in respect of the Preferred Units and the terms of the indentures governing the 2026 Notes and 2029 Notes, the Credit Agreement and the OpCo LPA Amendment governing the Preferred Units and may be limited by a variety of other factors. Accordingly, we may be unable to make cash distributions to holders of Class A Units and Class B Units, and we do not anticipate making any such cash distributions in the near future.</w:t>
      </w:r>
    </w:p>
    <w:p>
      <w:pPr>
        <w:spacing w:after="0" w:line="111" w:lineRule="exact"/>
        <w:rPr>
          <w:sz w:val="20"/>
          <w:szCs w:val="20"/>
          <w:color w:val="auto"/>
        </w:rPr>
      </w:pPr>
    </w:p>
    <w:p>
      <w:pPr>
        <w:ind w:left="20" w:right="99"/>
        <w:spacing w:after="0" w:line="316" w:lineRule="auto"/>
        <w:rPr>
          <w:sz w:val="20"/>
          <w:szCs w:val="20"/>
          <w:color w:val="auto"/>
        </w:rPr>
      </w:pPr>
      <w:r>
        <w:rPr>
          <w:rFonts w:ascii="Arial" w:cs="Arial" w:eastAsia="Arial" w:hAnsi="Arial"/>
          <w:sz w:val="10"/>
          <w:szCs w:val="10"/>
          <w:color w:val="auto"/>
        </w:rPr>
        <w:t>The ability of Ferrellgas Partners to make cash distributions to its Class A Unitholders and Class B Unitholders is dependent on the receipt by Ferrellgas Partners of cash distributions from the operating partnership. For so long as any Preferred Units remain outstanding, the amount of cash that otherwise would be available for distribution by the operating partnership to Ferrellgas Partners and the general partner will be reduced by the amount of cash distributions and other payments made by the operating partnership in respect of the Preferred Units, including payments to redeem Preferred Units. Further, the indentures governing the 2026 Notes and 2029 Notes, the Credit Agreement and the OpCo LPA Amendment governing the Preferred Units contain covenants that limit the ability of the operating partnership to make distributions to Ferrellgas Partners and therefore effectively limit the ability of Ferrellgas Partners to make distributions to its Class A Unitholders and Class B Unitholders. See Note F – Debt and Note G – Preferred units for a discussion of these limitations.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Accordingly, we may be unable to make cash distributions to holders of Class A Units and Class B Units.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we are unable to access the financing markets, including through our Credit Facility, it may adversely impact our business and liquidity.</w:t>
      </w:r>
    </w:p>
    <w:p>
      <w:pPr>
        <w:spacing w:after="0" w:line="150" w:lineRule="exact"/>
        <w:rPr>
          <w:sz w:val="20"/>
          <w:szCs w:val="20"/>
          <w:color w:val="auto"/>
        </w:rPr>
      </w:pPr>
    </w:p>
    <w:p>
      <w:pPr>
        <w:ind w:left="20" w:right="59"/>
        <w:spacing w:after="0" w:line="280" w:lineRule="auto"/>
        <w:rPr>
          <w:sz w:val="20"/>
          <w:szCs w:val="20"/>
          <w:color w:val="auto"/>
        </w:rPr>
      </w:pPr>
      <w:r>
        <w:rPr>
          <w:rFonts w:ascii="Arial" w:cs="Arial" w:eastAsia="Arial" w:hAnsi="Arial"/>
          <w:sz w:val="11"/>
          <w:szCs w:val="11"/>
          <w:color w:val="auto"/>
        </w:rPr>
        <w:t>Market conditions may impact our ability to access the financing markets on terms acceptable to us or at all. In addition, there are limitations on our ability to utilize fully all commitments under the Credit Facility. Availability under the Credit Facility is determined by reference to a borrowing base comprised of a combination of accounts receivable and propane inventory that fluctuates over time and the borrowing base may be further reduced by discretionary actions of the administrative agent under the Credit Facility. See “Risk Factors—The amount of borrowings permitted under our Credit Facility may fluctuate significantly.” If we are unable to access the financing markets, including through our Credit Facility, we would be required to use cash on hand to fund operations and repay outstanding debt, including the notes offered hereby. There is no assurance that we will be able to generate sufficient cash to fund our operations and repay or refinance such debt. A failure to generate such cash would have a material adverse effect on our business if we were unable to access financing markets. Additionally, even if we are able to generate sufficient cash to refinance such debt, cash available to us for working capital and other corporate uses could be reduced. Market conditions may also impact our ability to utilize letters of credit or other financial instruments we use to conduct our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3" w:name="page94"/>
    <w:bookmarkEnd w:id="9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b w:val="1"/>
          <w:bCs w:val="1"/>
          <w:i w:val="1"/>
          <w:iCs w:val="1"/>
          <w:color w:val="auto"/>
        </w:rPr>
        <w:t>Holders of the Class B Units have the right to appoint an independent director, and certain consent from the holders of Class B Units is required for certain transactions, which may reduce our operating flexibility. The holders of the Class B Units and their affiliates may have conflicts with us.</w:t>
      </w:r>
    </w:p>
    <w:p>
      <w:pPr>
        <w:spacing w:after="0" w:line="115" w:lineRule="exact"/>
        <w:rPr>
          <w:sz w:val="20"/>
          <w:szCs w:val="20"/>
          <w:color w:val="auto"/>
        </w:rPr>
      </w:pPr>
    </w:p>
    <w:p>
      <w:pPr>
        <w:ind w:left="20" w:right="359"/>
        <w:spacing w:after="0" w:line="298" w:lineRule="auto"/>
        <w:rPr>
          <w:sz w:val="20"/>
          <w:szCs w:val="20"/>
          <w:color w:val="auto"/>
        </w:rPr>
      </w:pPr>
      <w:r>
        <w:rPr>
          <w:rFonts w:ascii="Arial" w:cs="Arial" w:eastAsia="Arial" w:hAnsi="Arial"/>
          <w:sz w:val="11"/>
          <w:szCs w:val="11"/>
          <w:color w:val="auto"/>
        </w:rPr>
        <w:t>The holders of Class B Units are permitted to designate one independent director to the Board of Directors of the general partner (the “Class B Independent Director”). The Class B Independent Director may not be affiliated with any prior holders of the Ferrellgas Partners Notes that entered into the Transaction Support Agreement and must be acceptable to Ferrellgas Partners and the operating partnership. The interests of holders of the Class B Units may conflict with our interests or the interests of other securityholders.</w:t>
      </w:r>
    </w:p>
    <w:p>
      <w:pPr>
        <w:spacing w:after="0" w:line="105"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The partnership agreements of Ferrellgas Partners and the operating partnership provide certain covenants for the benefit of holders of the Class B Units, including, among others, that none of Ferrellgas Partners, the operating partnership or their respective subsidiaries may (i) incur indebtedness in excess of $75.0 million, other than certain refinancing transactions, (ii) issue or redeem outstanding equity interests (other than the Preferred Units) or (iii) engage in certain related party transactions, asset sales, investments, contributions or other transfers of assets, in each case above a specified threshold. Accordingly, the Class B Independent Director has significant influence with respect to our management, business plans and policies. These restrictions, which can be waived only upon consent by holders of the Requisite New Class B Units (defined as (a) if the holder that initially holds a majority of the Class B Units (the “Initial Class B Majority Holder”) holds at least 50% of Class B Units, holders of at least 50% of the outstanding Class B Units or (b) if the Initial Class B Majority Holder holds less than 50% of New Class B Units, holders of at least one-third of the outstanding Class B Units), may limit our flexibility to pursue strategic opportunities.</w:t>
      </w:r>
    </w:p>
    <w:p>
      <w:pPr>
        <w:spacing w:after="0" w:line="115" w:lineRule="exact"/>
        <w:rPr>
          <w:sz w:val="20"/>
          <w:szCs w:val="20"/>
          <w:color w:val="auto"/>
        </w:rPr>
      </w:pPr>
    </w:p>
    <w:p>
      <w:pPr>
        <w:ind w:left="20" w:right="379"/>
        <w:spacing w:after="0" w:line="379" w:lineRule="auto"/>
        <w:rPr>
          <w:sz w:val="20"/>
          <w:szCs w:val="20"/>
          <w:color w:val="auto"/>
        </w:rPr>
      </w:pPr>
      <w:r>
        <w:rPr>
          <w:rFonts w:ascii="Arial" w:cs="Arial" w:eastAsia="Arial" w:hAnsi="Arial"/>
          <w:sz w:val="10"/>
          <w:szCs w:val="10"/>
          <w:b w:val="1"/>
          <w:bCs w:val="1"/>
          <w:i w:val="1"/>
          <w:iCs w:val="1"/>
          <w:color w:val="auto"/>
        </w:rPr>
        <w:t>Holders of the Class B Units will have the right to acquire the general partner interests in Ferrellgas Partners and the operating partnership upon a material breach of certain covenants in the governance documents of Ferrellgas Partners and the operating partnership and will convert into Class A Units under certain circumstances.</w:t>
      </w:r>
    </w:p>
    <w:p>
      <w:pPr>
        <w:spacing w:after="0" w:line="69" w:lineRule="exact"/>
        <w:rPr>
          <w:sz w:val="20"/>
          <w:szCs w:val="20"/>
          <w:color w:val="auto"/>
        </w:rPr>
      </w:pPr>
    </w:p>
    <w:p>
      <w:pPr>
        <w:ind w:left="20" w:right="59"/>
        <w:spacing w:after="0" w:line="308" w:lineRule="auto"/>
        <w:rPr>
          <w:sz w:val="20"/>
          <w:szCs w:val="20"/>
          <w:color w:val="auto"/>
        </w:rPr>
      </w:pPr>
      <w:r>
        <w:rPr>
          <w:rFonts w:ascii="Arial" w:cs="Arial" w:eastAsia="Arial" w:hAnsi="Arial"/>
          <w:sz w:val="10"/>
          <w:szCs w:val="10"/>
          <w:color w:val="auto"/>
        </w:rPr>
        <w:t>On the Effective Date, Ferrellgas Partners issued approximately 1.3 million Class B Units to holders of the Ferrellgas Partners Notes. Holders of the Class B Units will have the right to acquire the general partner interests in Ferrellgas Partners and the operating partnership, without the approval of the general partner, Ferrellgas Partners, the holders of the Class A Units or the operating partnership, upon a material breach of certain covenants in the governance documents of Ferrellgas Partners and the operating partnership or if the Class B Units fail to convert within ten years after the Effective Date. Additionally, if the Class B Units are not called by Ferrellgas Partners (which is only permitted within five years of the issuance thereof), then upon receipt of distributions equal to $357 million the Class B Units will convert into Class A Units in accordance with the conversion factors described in the Amended Ferrellgas Partners LPA. Ferrellgas Partners will only be able to call the Class B Units to the extent it receives sufficient distributions from the operating partnership, and the operating partnership will be limited in its ability to make distributions by its debt agreements and the terms of the Preferred Units. See “—We issued $700.0 million aggregate initial liquidation preference of Preferred Units, the terms of which restrict us from undertaking certain actions while such Preferred Units are outstanding.” Any such acquisition and/or conversion could have a material adverse effect on us and could substantially change our management and the resolution of conflicts of interest, as described above. Such acquisition also could result in a “change of control” under our debt instruments, including the indentures governing the 2026 Notes and 2029 Notes, or our other securities, including the First Amendment to the Amended OpCo LPA governing the Preferred Units, which could result in an event of default under such instruments or require that we offer to repurchase our debt and/or other securities.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4" w:name="page95"/>
    <w:bookmarkEnd w:id="9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639"/>
        <w:spacing w:after="0" w:line="276" w:lineRule="auto"/>
        <w:rPr>
          <w:sz w:val="20"/>
          <w:szCs w:val="20"/>
          <w:color w:val="auto"/>
        </w:rPr>
      </w:pPr>
      <w:r>
        <w:rPr>
          <w:rFonts w:ascii="Arial" w:cs="Arial" w:eastAsia="Arial" w:hAnsi="Arial"/>
          <w:sz w:val="12"/>
          <w:szCs w:val="12"/>
          <w:b w:val="1"/>
          <w:bCs w:val="1"/>
          <w:i w:val="1"/>
          <w:iCs w:val="1"/>
          <w:color w:val="auto"/>
        </w:rPr>
        <w:t>We issued $700.0 million aggregate initial liquidation preference of Preferred Units, the terms of which restrict us from undertaking certain actions while such Preferred Units are outstanding.</w:t>
      </w:r>
    </w:p>
    <w:p>
      <w:pPr>
        <w:spacing w:after="0" w:line="79" w:lineRule="exact"/>
        <w:rPr>
          <w:sz w:val="20"/>
          <w:szCs w:val="20"/>
          <w:color w:val="auto"/>
        </w:rPr>
      </w:pPr>
    </w:p>
    <w:p>
      <w:pPr>
        <w:jc w:val="both"/>
        <w:ind w:left="20" w:right="459"/>
        <w:spacing w:after="0" w:line="263" w:lineRule="auto"/>
        <w:rPr>
          <w:sz w:val="20"/>
          <w:szCs w:val="20"/>
          <w:color w:val="auto"/>
        </w:rPr>
      </w:pPr>
      <w:r>
        <w:rPr>
          <w:rFonts w:ascii="Arial" w:cs="Arial" w:eastAsia="Arial" w:hAnsi="Arial"/>
          <w:sz w:val="12"/>
          <w:szCs w:val="12"/>
          <w:color w:val="auto"/>
        </w:rPr>
        <w:t>We issued $700.0 million initial aggregate liquidation preference of Preferred Units. The Preferred Units are entitled to quarterly distributions in cash or payment in kind and are redeemable at the option of the operating partnership at any time, or at the option of the holders no earlier than ten years after the Effective Date, subject to the terms as described in more detail under as discussed in Note G – Preferred units.</w:t>
      </w:r>
    </w:p>
    <w:p>
      <w:pPr>
        <w:spacing w:after="0" w:line="86" w:lineRule="exact"/>
        <w:rPr>
          <w:sz w:val="20"/>
          <w:szCs w:val="20"/>
          <w:color w:val="auto"/>
        </w:rPr>
      </w:pPr>
    </w:p>
    <w:p>
      <w:pPr>
        <w:ind w:left="20" w:right="619"/>
        <w:spacing w:after="0" w:line="276" w:lineRule="auto"/>
        <w:rPr>
          <w:sz w:val="20"/>
          <w:szCs w:val="20"/>
          <w:color w:val="auto"/>
        </w:rPr>
      </w:pPr>
      <w:r>
        <w:rPr>
          <w:rFonts w:ascii="Arial" w:cs="Arial" w:eastAsia="Arial" w:hAnsi="Arial"/>
          <w:sz w:val="12"/>
          <w:szCs w:val="12"/>
          <w:color w:val="auto"/>
        </w:rPr>
        <w:t>For so long as at least 20% of the Preferred Units initially issued (without any adjustment for PIK payments) remain outstanding, holders of the Preferred Units have the right, voting as a separate class, to designate one director onto the board of the general partner, which may not exceed nine directors.</w:t>
      </w:r>
    </w:p>
    <w:p>
      <w:pPr>
        <w:spacing w:after="0" w:line="79" w:lineRule="exact"/>
        <w:rPr>
          <w:sz w:val="20"/>
          <w:szCs w:val="20"/>
          <w:color w:val="auto"/>
        </w:rPr>
      </w:pPr>
    </w:p>
    <w:p>
      <w:pPr>
        <w:ind w:left="20" w:right="579"/>
        <w:spacing w:after="0" w:line="276" w:lineRule="auto"/>
        <w:rPr>
          <w:sz w:val="20"/>
          <w:szCs w:val="20"/>
          <w:color w:val="auto"/>
        </w:rPr>
      </w:pPr>
      <w:r>
        <w:rPr>
          <w:rFonts w:ascii="Arial" w:cs="Arial" w:eastAsia="Arial" w:hAnsi="Arial"/>
          <w:sz w:val="12"/>
          <w:szCs w:val="12"/>
          <w:color w:val="auto"/>
        </w:rPr>
        <w:t>For so long as at least $35.0 million aggregate liquidation preference of Preferred Units remain outstanding, the partnership agreements of Ferrellgas Partners and the operating partnership limit the following, unless agreed by holders of at least 1/3 of the outstanding Preferred Units:</w:t>
      </w:r>
    </w:p>
    <w:p>
      <w:pPr>
        <w:spacing w:after="0" w:line="79" w:lineRule="exact"/>
        <w:rPr>
          <w:sz w:val="20"/>
          <w:szCs w:val="20"/>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change of control transactions, unless Ferrellgas Partners has sufficient liquidity to redeem the Preferred Units;</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amendments to organizational documents that adversely affect the rights of the holders of the Preferred Units;</w:t>
      </w:r>
    </w:p>
    <w:p>
      <w:pPr>
        <w:spacing w:after="0" w:line="114" w:lineRule="exact"/>
        <w:rPr>
          <w:rFonts w:ascii="Arial" w:cs="Arial" w:eastAsia="Arial" w:hAnsi="Arial"/>
          <w:sz w:val="12"/>
          <w:szCs w:val="12"/>
          <w:color w:val="auto"/>
        </w:rPr>
      </w:pPr>
    </w:p>
    <w:p>
      <w:pPr>
        <w:ind w:left="480" w:right="639" w:hanging="224"/>
        <w:spacing w:after="0" w:line="276" w:lineRule="auto"/>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authorization, creation or issuance of any equity interest having rights, preferences or privileges senior or pari passu to the Preferred Units, and none of the operating partnership’s subsidiaries may issue additional equity or redeem any equity;</w:t>
      </w:r>
    </w:p>
    <w:p>
      <w:pPr>
        <w:spacing w:after="0" w:line="78" w:lineRule="exact"/>
        <w:rPr>
          <w:rFonts w:ascii="Arial" w:cs="Arial" w:eastAsia="Arial" w:hAnsi="Arial"/>
          <w:sz w:val="12"/>
          <w:szCs w:val="12"/>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authorization, creation or issuance of additional Preferred Units;</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filings for bankruptcy;</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62"/>
        </w:numPr>
        <w:rPr>
          <w:rFonts w:ascii="Arial" w:cs="Arial" w:eastAsia="Arial" w:hAnsi="Arial"/>
          <w:sz w:val="11"/>
          <w:szCs w:val="11"/>
          <w:color w:val="auto"/>
        </w:rPr>
      </w:pPr>
      <w:r>
        <w:rPr>
          <w:rFonts w:ascii="Arial" w:cs="Arial" w:eastAsia="Arial" w:hAnsi="Arial"/>
          <w:sz w:val="11"/>
          <w:szCs w:val="11"/>
          <w:color w:val="auto"/>
        </w:rPr>
        <w:t>engage in any investment, contribution or other transfer of any value, or asset sales outside the ordinary course of business, to any person above specified thresholds;</w:t>
      </w:r>
    </w:p>
    <w:p>
      <w:pPr>
        <w:spacing w:after="0" w:line="125" w:lineRule="exact"/>
        <w:rPr>
          <w:rFonts w:ascii="Arial" w:cs="Arial" w:eastAsia="Arial" w:hAnsi="Arial"/>
          <w:sz w:val="11"/>
          <w:szCs w:val="11"/>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entering into or modifying any transaction or agreement with an affiliate or related party;</w:t>
      </w:r>
    </w:p>
    <w:p>
      <w:pPr>
        <w:spacing w:after="0" w:line="114" w:lineRule="exact"/>
        <w:rPr>
          <w:rFonts w:ascii="Arial" w:cs="Arial" w:eastAsia="Arial" w:hAnsi="Arial"/>
          <w:sz w:val="12"/>
          <w:szCs w:val="12"/>
          <w:color w:val="auto"/>
        </w:rPr>
      </w:pPr>
    </w:p>
    <w:p>
      <w:pPr>
        <w:ind w:left="480" w:right="439" w:hanging="224"/>
        <w:spacing w:after="0" w:line="323" w:lineRule="auto"/>
        <w:tabs>
          <w:tab w:leader="none" w:pos="480" w:val="left"/>
        </w:tabs>
        <w:numPr>
          <w:ilvl w:val="0"/>
          <w:numId w:val="62"/>
        </w:numPr>
        <w:rPr>
          <w:rFonts w:ascii="Arial" w:cs="Arial" w:eastAsia="Arial" w:hAnsi="Arial"/>
          <w:sz w:val="11"/>
          <w:szCs w:val="11"/>
          <w:color w:val="auto"/>
        </w:rPr>
      </w:pPr>
      <w:r>
        <w:rPr>
          <w:rFonts w:ascii="Arial" w:cs="Arial" w:eastAsia="Arial" w:hAnsi="Arial"/>
          <w:sz w:val="11"/>
          <w:szCs w:val="11"/>
          <w:color w:val="auto"/>
        </w:rPr>
        <w:t>redemptions or repurchases by Ferrellgas Partners, the operating partnership or their respective subsidiaries of equity interests of the operating partnership ranking junior to the Preferred Units, other than explicitly permitted as described herein, or by Ferrellgas Partners, to its common limited partnership units;</w:t>
      </w:r>
    </w:p>
    <w:p>
      <w:pPr>
        <w:spacing w:after="0" w:line="55" w:lineRule="exact"/>
        <w:rPr>
          <w:rFonts w:ascii="Arial" w:cs="Arial" w:eastAsia="Arial" w:hAnsi="Arial"/>
          <w:sz w:val="11"/>
          <w:szCs w:val="11"/>
          <w:color w:val="auto"/>
        </w:rPr>
      </w:pPr>
    </w:p>
    <w:p>
      <w:pPr>
        <w:ind w:left="480" w:hanging="224"/>
        <w:spacing w:after="0"/>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limitations on distributions on the operating partnership’s common limited partnership other than as set forth herein;</w:t>
      </w:r>
    </w:p>
    <w:p>
      <w:pPr>
        <w:spacing w:after="0" w:line="114" w:lineRule="exact"/>
        <w:rPr>
          <w:rFonts w:ascii="Arial" w:cs="Arial" w:eastAsia="Arial" w:hAnsi="Arial"/>
          <w:sz w:val="12"/>
          <w:szCs w:val="12"/>
          <w:color w:val="auto"/>
        </w:rPr>
      </w:pPr>
    </w:p>
    <w:p>
      <w:pPr>
        <w:ind w:left="480" w:right="579" w:hanging="224"/>
        <w:spacing w:after="0" w:line="276" w:lineRule="auto"/>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limitations on the incurrence of indebtedness other than $75.0 million, or refinancings of the Credit Facility or the 2026 Notes or 2029 Notes (with premiums, interest and expense counting toward the $75.0 million basket); and</w:t>
      </w:r>
    </w:p>
    <w:p>
      <w:pPr>
        <w:spacing w:after="0" w:line="78" w:lineRule="exact"/>
        <w:rPr>
          <w:rFonts w:ascii="Arial" w:cs="Arial" w:eastAsia="Arial" w:hAnsi="Arial"/>
          <w:sz w:val="12"/>
          <w:szCs w:val="12"/>
          <w:color w:val="auto"/>
        </w:rPr>
      </w:pPr>
    </w:p>
    <w:p>
      <w:pPr>
        <w:ind w:left="480" w:right="559" w:hanging="224"/>
        <w:spacing w:after="0" w:line="276" w:lineRule="auto"/>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limitations on tax elections that cause Ferrellgas Partners or the operating partnership to be classified as a corporation, or any fundamental changes in the nature of the business or the entering into any material line of business substantially different from those conducted on the Effective Date.</w:t>
      </w:r>
    </w:p>
    <w:p>
      <w:pPr>
        <w:spacing w:after="0" w:line="79" w:lineRule="exact"/>
        <w:rPr>
          <w:sz w:val="20"/>
          <w:szCs w:val="20"/>
          <w:color w:val="auto"/>
        </w:rPr>
      </w:pPr>
    </w:p>
    <w:p>
      <w:pPr>
        <w:ind w:left="20" w:right="839"/>
        <w:spacing w:after="0" w:line="276" w:lineRule="auto"/>
        <w:rPr>
          <w:sz w:val="20"/>
          <w:szCs w:val="20"/>
          <w:color w:val="auto"/>
        </w:rPr>
      </w:pPr>
      <w:r>
        <w:rPr>
          <w:rFonts w:ascii="Arial" w:cs="Arial" w:eastAsia="Arial" w:hAnsi="Arial"/>
          <w:sz w:val="12"/>
          <w:szCs w:val="12"/>
          <w:color w:val="auto"/>
        </w:rPr>
        <w:t>Accordingly, the holders of the Preferred Units will have significant influence with respect to our management, business plans and policies. The interests of holders of the Preferred Units may conflict with our interests or the interests of our debtholders or securityholders.</w:t>
      </w:r>
    </w:p>
    <w:p>
      <w:pPr>
        <w:spacing w:after="0" w:line="79" w:lineRule="exact"/>
        <w:rPr>
          <w:sz w:val="20"/>
          <w:szCs w:val="20"/>
          <w:color w:val="auto"/>
        </w:rPr>
      </w:pPr>
    </w:p>
    <w:p>
      <w:pPr>
        <w:jc w:val="both"/>
        <w:ind w:left="20" w:right="399"/>
        <w:spacing w:after="0" w:line="263" w:lineRule="auto"/>
        <w:rPr>
          <w:sz w:val="20"/>
          <w:szCs w:val="20"/>
          <w:color w:val="auto"/>
        </w:rPr>
      </w:pPr>
      <w:r>
        <w:rPr>
          <w:rFonts w:ascii="Arial" w:cs="Arial" w:eastAsia="Arial" w:hAnsi="Arial"/>
          <w:sz w:val="12"/>
          <w:szCs w:val="12"/>
          <w:color w:val="auto"/>
        </w:rPr>
        <w:t>Additionally, upon the occurrence of certain “change of control” transactions, the holders of the Preferred Units will have the option to require the redemption of all or a portion of the Preferred Units in cash in an amount equal to the redemption price; such a “change of control” will also trigger a “change of control” under the indentures governing the 2026 Notes and 2029 Notes.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5" w:name="page96"/>
    <w:bookmarkEnd w:id="9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right="439"/>
        <w:spacing w:after="0" w:line="298" w:lineRule="auto"/>
        <w:rPr>
          <w:sz w:val="20"/>
          <w:szCs w:val="20"/>
          <w:color w:val="auto"/>
        </w:rPr>
      </w:pPr>
      <w:r>
        <w:rPr>
          <w:rFonts w:ascii="Arial" w:cs="Arial" w:eastAsia="Arial" w:hAnsi="Arial"/>
          <w:sz w:val="11"/>
          <w:szCs w:val="11"/>
          <w:color w:val="auto"/>
        </w:rPr>
        <w:t>In the event that no Class B Units are outstanding and the outstanding amount of Preferred Units is greater than $233.3 million after the tenth anniversary of the Effective Date, to the extent the operating partnership fails to redeem all the outstanding Preferred Units, holders of at least 1/3 of the outstanding Preferred Units will have the right to appoint a majority of the members of the directors onto the board of directors of the general partner and initiate a sale of the operating partnership.</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restrictions may limit our flexibility to pursue strategic opportunities.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The amount of borrowings permitted under our Credit Facility may fluctuate significantly.</w:t>
      </w:r>
    </w:p>
    <w:p>
      <w:pPr>
        <w:spacing w:after="0" w:line="105" w:lineRule="exact"/>
        <w:rPr>
          <w:sz w:val="20"/>
          <w:szCs w:val="20"/>
          <w:color w:val="auto"/>
        </w:rPr>
      </w:pPr>
    </w:p>
    <w:p>
      <w:pPr>
        <w:ind w:left="20" w:right="439"/>
        <w:spacing w:after="0" w:line="281" w:lineRule="auto"/>
        <w:rPr>
          <w:sz w:val="20"/>
          <w:szCs w:val="20"/>
          <w:color w:val="auto"/>
        </w:rPr>
      </w:pPr>
      <w:r>
        <w:rPr>
          <w:rFonts w:ascii="Arial" w:cs="Arial" w:eastAsia="Arial" w:hAnsi="Arial"/>
          <w:sz w:val="11"/>
          <w:szCs w:val="11"/>
          <w:color w:val="auto"/>
        </w:rPr>
        <w:t>Availability under the Credit Facility is determined by reference to a borrowing base, determined based on specified percentages of our eligible accounts receivable and eligible propane inventory, that may fluctuate significantly over time, and the borrowing base may be further reduced by discretionary actions of the administrative agent under the Credit Facility, including the imposition of reserves and availability blocks and the re-characterization of assets that might otherwise increase loan availability. The borrowing base is calculated on a monthly basis, or more frequently under certain circumstances. See “Management’s Discussion and Analysis of Financial Condition and Results of Operations— Liquidity and Capital Resources—Financing Activities—Senior secured revolving credit facility.” As a result of the foregoing, our access to credit under the Credit Facility is potentially subject to significant fluctuation and, if such fluctuations result in a reduction in loan availability, such fluctuations could materially and adversely impair our liquidity, financial position and results of operations, including in respect of our ability to make interest payments on our debt obligations.</w:t>
      </w:r>
    </w:p>
    <w:p>
      <w:pPr>
        <w:spacing w:after="0" w:line="79" w:lineRule="exact"/>
        <w:rPr>
          <w:sz w:val="20"/>
          <w:szCs w:val="20"/>
          <w:color w:val="auto"/>
        </w:rPr>
      </w:pPr>
    </w:p>
    <w:p>
      <w:pPr>
        <w:ind w:left="20" w:right="739"/>
        <w:spacing w:after="0" w:line="260" w:lineRule="auto"/>
        <w:rPr>
          <w:sz w:val="20"/>
          <w:szCs w:val="20"/>
          <w:color w:val="auto"/>
        </w:rPr>
      </w:pPr>
      <w:r>
        <w:rPr>
          <w:rFonts w:ascii="Arial" w:cs="Arial" w:eastAsia="Arial" w:hAnsi="Arial"/>
          <w:sz w:val="12"/>
          <w:szCs w:val="12"/>
          <w:b w:val="1"/>
          <w:bCs w:val="1"/>
          <w:i w:val="1"/>
          <w:iCs w:val="1"/>
          <w:color w:val="auto"/>
        </w:rPr>
        <w:t>Restrictive covenants in the indentures governing the Notes and the agreements governing our other indebtedness and other financial obligations, including our Credit Facility, may reduce our operating flexibility.</w:t>
      </w:r>
    </w:p>
    <w:p>
      <w:pPr>
        <w:spacing w:after="0" w:line="79" w:lineRule="exact"/>
        <w:rPr>
          <w:sz w:val="20"/>
          <w:szCs w:val="20"/>
          <w:color w:val="auto"/>
        </w:rPr>
      </w:pPr>
    </w:p>
    <w:p>
      <w:pPr>
        <w:ind w:left="20" w:right="399"/>
        <w:spacing w:after="0" w:line="323" w:lineRule="auto"/>
        <w:rPr>
          <w:sz w:val="20"/>
          <w:szCs w:val="20"/>
          <w:color w:val="auto"/>
        </w:rPr>
      </w:pPr>
      <w:r>
        <w:rPr>
          <w:rFonts w:ascii="Arial" w:cs="Arial" w:eastAsia="Arial" w:hAnsi="Arial"/>
          <w:sz w:val="11"/>
          <w:szCs w:val="11"/>
          <w:color w:val="auto"/>
        </w:rPr>
        <w:t>The indentures governing the Notes, the Credit Agreement governing the Credit Facility will contain and the agreements governing our other financial obligations contain, and any indenture or other agreement that will govern debt incurred by us in the future may contain, various covenants that limit our ability to, among other things:</w:t>
      </w:r>
    </w:p>
    <w:p>
      <w:pPr>
        <w:spacing w:after="0" w:line="56" w:lineRule="exact"/>
        <w:rPr>
          <w:sz w:val="20"/>
          <w:szCs w:val="20"/>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incur additional indebtedness and guarantee indebtedness;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pay dividends or make other distributions, repurchase or redeem our capital stock, or make other restricted payments;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prepay, redeem or repurchase certain debt;</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issue certain preferred stock or similar equity securities;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make loans and investments;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sell assets;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incur liens;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enter into agreements restricting our subsidiaries’ ability to pay dividends; and</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consolidate, merge or sell all or substantially all of our assets.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6" w:name="page97"/>
    <w:bookmarkEnd w:id="9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restrictions could limit our ability to:</w:t>
      </w:r>
    </w:p>
    <w:p>
      <w:pPr>
        <w:spacing w:after="0" w:line="105" w:lineRule="exact"/>
        <w:rPr>
          <w:sz w:val="20"/>
          <w:szCs w:val="20"/>
          <w:color w:val="auto"/>
        </w:rPr>
      </w:pPr>
    </w:p>
    <w:p>
      <w:pPr>
        <w:ind w:left="480" w:hanging="224"/>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obtain future financings;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make necessary capital expenditures;</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withstand a future downturn in our business or the economy in general; or</w:t>
      </w:r>
    </w:p>
    <w:p>
      <w:pPr>
        <w:spacing w:after="0" w:line="69" w:lineRule="exact"/>
        <w:rPr>
          <w:rFonts w:ascii="Arial" w:cs="Arial" w:eastAsia="Arial" w:hAnsi="Arial"/>
          <w:sz w:val="12"/>
          <w:szCs w:val="12"/>
          <w:color w:val="auto"/>
        </w:rPr>
      </w:pPr>
    </w:p>
    <w:p>
      <w:pPr>
        <w:ind w:left="480" w:hanging="224"/>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conduct operations, compete effectively or otherwise take advantage of business opportunities that may arise.</w:t>
      </w:r>
    </w:p>
    <w:p>
      <w:pPr>
        <w:spacing w:after="0" w:line="69" w:lineRule="exact"/>
        <w:rPr>
          <w:sz w:val="20"/>
          <w:szCs w:val="20"/>
          <w:color w:val="auto"/>
        </w:rPr>
      </w:pPr>
    </w:p>
    <w:p>
      <w:pPr>
        <w:ind w:left="20" w:right="439"/>
        <w:spacing w:after="0" w:line="255" w:lineRule="auto"/>
        <w:rPr>
          <w:sz w:val="20"/>
          <w:szCs w:val="20"/>
          <w:color w:val="auto"/>
        </w:rPr>
      </w:pPr>
      <w:r>
        <w:rPr>
          <w:rFonts w:ascii="Arial" w:cs="Arial" w:eastAsia="Arial" w:hAnsi="Arial"/>
          <w:sz w:val="12"/>
          <w:szCs w:val="12"/>
          <w:color w:val="auto"/>
        </w:rPr>
        <w:t>The Credit Agreement governing the Credit Facility requires and some of the agreements governing our future indebtedness and other financial obligations may also require, the maintenance of specified financial ratios and the satisfaction of other financial conditions, including a minimum interest coverage ratio, a maximum senior secured leverage ratio, and a maximum total net leverage ratio. Further, there are limitations on our ability to utilize fully all commitments under the Credit Facility. Availability under the Credit Facility is determined by reference to a borrowing base comprised of a combination of accounts receivable and propane inventory that fluctuates over time and the borrowing base may be further reduced by discretionary actions of the administrative agent under the Credit Facility. See “Risk Factors—The amount of borrowings permitted under our Credit Facility may fluctuate significantly.”</w:t>
      </w:r>
    </w:p>
    <w:p>
      <w:pPr>
        <w:spacing w:after="0" w:line="92" w:lineRule="exact"/>
        <w:rPr>
          <w:sz w:val="20"/>
          <w:szCs w:val="20"/>
          <w:color w:val="auto"/>
        </w:rPr>
      </w:pPr>
    </w:p>
    <w:p>
      <w:pPr>
        <w:jc w:val="both"/>
        <w:ind w:left="20" w:right="619"/>
        <w:spacing w:after="0" w:line="298" w:lineRule="auto"/>
        <w:rPr>
          <w:sz w:val="20"/>
          <w:szCs w:val="20"/>
          <w:color w:val="auto"/>
        </w:rPr>
      </w:pPr>
      <w:r>
        <w:rPr>
          <w:rFonts w:ascii="Arial" w:cs="Arial" w:eastAsia="Arial" w:hAnsi="Arial"/>
          <w:sz w:val="11"/>
          <w:szCs w:val="11"/>
          <w:color w:val="auto"/>
        </w:rPr>
        <w:t>In addition, the limited partnership agreement governing the terms of the Preferred Units also restricts our ability to pay dividends and make distributions relating to our other capital stock, and future issuances of equity by Ferrellgas Partners or the operating partnership may contain additional restrictions. See “—We issued $700.0 million aggregate initial liquidation preference of Preferred Units, the terms of which restrict us from undertaking certain actions while such Preferred Units are outstanding.”</w:t>
      </w:r>
    </w:p>
    <w:p>
      <w:pPr>
        <w:spacing w:after="0" w:line="69" w:lineRule="exact"/>
        <w:rPr>
          <w:sz w:val="20"/>
          <w:szCs w:val="20"/>
          <w:color w:val="auto"/>
        </w:rPr>
      </w:pPr>
    </w:p>
    <w:p>
      <w:pPr>
        <w:ind w:left="20" w:right="399"/>
        <w:spacing w:after="0" w:line="326" w:lineRule="auto"/>
        <w:rPr>
          <w:sz w:val="20"/>
          <w:szCs w:val="20"/>
          <w:color w:val="auto"/>
        </w:rPr>
      </w:pPr>
      <w:r>
        <w:rPr>
          <w:rFonts w:ascii="Arial" w:cs="Arial" w:eastAsia="Arial" w:hAnsi="Arial"/>
          <w:sz w:val="10"/>
          <w:szCs w:val="10"/>
          <w:color w:val="auto"/>
        </w:rPr>
        <w:t>Our ability to meet those financial ratios and conditions can be affected by unexpected downturns in business operations beyond our control, such as significantly warmer-than-normal weather, a volatile energy commodity cost environment, deterioration in credit quality of key business partners, or an economic downturn. Accordingly, we may be unable to meet these ratios and conditions. This failure could impair our operating capacity and cash flows and could restrict our ability to incur debt or to make cash distributions, even if sufficient funds were available. See “—If we are unable to access the financing markets, including through our Credit Facility, it may adversely impact our business and liquidity.”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addition, the terms of any future indebtedness may be more restrictive.</w:t>
      </w:r>
    </w:p>
    <w:p>
      <w:pPr>
        <w:spacing w:after="0" w:line="105" w:lineRule="exact"/>
        <w:rPr>
          <w:sz w:val="20"/>
          <w:szCs w:val="20"/>
          <w:color w:val="auto"/>
        </w:rPr>
      </w:pPr>
    </w:p>
    <w:p>
      <w:pPr>
        <w:ind w:left="20" w:right="459"/>
        <w:spacing w:after="0" w:line="278" w:lineRule="auto"/>
        <w:rPr>
          <w:sz w:val="20"/>
          <w:szCs w:val="20"/>
          <w:color w:val="auto"/>
        </w:rPr>
      </w:pPr>
      <w:r>
        <w:rPr>
          <w:rFonts w:ascii="Arial" w:cs="Arial" w:eastAsia="Arial" w:hAnsi="Arial"/>
          <w:sz w:val="11"/>
          <w:szCs w:val="11"/>
          <w:color w:val="auto"/>
        </w:rPr>
        <w:t>Our breach of any of these covenants or failure to meet any of these ratios or conditions could result in a default under the terms of the relevant indebtedness, which could cause such indebtedness or other financial obligations and, by reason of any cross-default provisions that may exist, any of our other existing or future debt, including the Notes, to become immediately due and payable. If we were unable to repay those amounts, the holders of such debt could initiate a bankruptcy proceeding or liquidation proceeding or, in the case of secured debt, proceed against their collateral in accordance with state law and the rights granted under the relevant debt agreements. If our lenders or noteholders accelerate the repayment of borrowings or other amounts owed, we may not have sufficient assets to repay our indebtedness or other financial obligations, including indebtedness under the Notes, the Credit Agreement and any future debt obligations. As of April 30, 2021, we had approximately $1,475.0 million principal amount of total indebtedness and we had no secured indebtedness under our Credit Facility (in each case, excluding $138.2 million represented by outstanding letters of credit under our Credit Facility); and we had commitments available to be borrowed under our Credit Facility of approximately $211.8 million (after giving effect to $138.2 million of outstanding letters of credit under the Credit Facility and subject to adjustment based on calculation of our borrowing base). See “Management’s Discussion and Analysis of Financial Condition and Results of Operations—Liquidity and Capital Resources—General.”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7" w:name="page98"/>
    <w:bookmarkEnd w:id="9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The indentures governing the 2026 Notes and the 2029 Notes and the Credit Agreement governing the Credit Facility contain important exceptions to the covenants.</w:t>
      </w:r>
    </w:p>
    <w:p>
      <w:pPr>
        <w:spacing w:after="0" w:line="117" w:lineRule="exact"/>
        <w:rPr>
          <w:sz w:val="20"/>
          <w:szCs w:val="20"/>
          <w:color w:val="auto"/>
        </w:rPr>
      </w:pPr>
    </w:p>
    <w:p>
      <w:pPr>
        <w:ind w:left="20" w:right="399"/>
        <w:spacing w:after="0" w:line="283" w:lineRule="auto"/>
        <w:rPr>
          <w:sz w:val="20"/>
          <w:szCs w:val="20"/>
          <w:color w:val="auto"/>
        </w:rPr>
      </w:pPr>
      <w:r>
        <w:rPr>
          <w:rFonts w:ascii="Arial" w:cs="Arial" w:eastAsia="Arial" w:hAnsi="Arial"/>
          <w:sz w:val="11"/>
          <w:szCs w:val="11"/>
          <w:color w:val="auto"/>
        </w:rPr>
        <w:t>The indentures governing the Notes contain important exceptions to the covenants, including the covenants that restrict our ability to sell assets and make restricted payments. For example, the indentures governing the Notes initially permit us to make $60 million plus the amount of our Available Cash from Operating Surplus (as defined in the indentures governing the Notes) for the preceding fiscal quarter (so long as our fixed coverage ratio is at least 1.75x) or $25 million (if our fixed coverage ratio is below 1.75x) plus an additional $25 million, in each case, of restricted payments for any purpose, subject to compliance with applicable conditions, as well as to make additional restricted payments for specified purposes. Furthermore, we may utilize exceptions to sell assets and such asset sales may be on unfavorable terms. See “Management’s Discussion and Analysis of Financial Condition and Results of Operations—Liquidity and Capital Resources—Financing Activities.”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variable rate indebtedness subjects us to interest rate risk, which could cause our debt service obligations to increase significantly.</w:t>
      </w:r>
    </w:p>
    <w:p>
      <w:pPr>
        <w:spacing w:after="0" w:line="105"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Borrowings under our Credit Facility will be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Assuming all loans are fully drawn and all commitments are available under the Credit Facility, each quarter point change in interest rates would result in a change of approximately $0.9 million in annual interest expense on our indebtedness under our Credit Facility.</w:t>
      </w:r>
    </w:p>
    <w:p>
      <w:pPr>
        <w:spacing w:after="0" w:line="12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5.</w:t>
        <w:tab/>
        <w:t>OTHER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On June 11, 2021, Ferrellgas entered into the First Amendment to the Credit Agreement. See Note O – Subsequent events for further discussion.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8" w:name="page99"/>
    <w:bookmarkEnd w:id="9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b w:val="1"/>
          <w:bCs w:val="1"/>
          <w:color w:val="auto"/>
        </w:rPr>
        <w:t>ITEM 6.</w:t>
        <w:tab/>
        <w:t>EXHIBITS</w:t>
      </w:r>
    </w:p>
    <w:p>
      <w:pPr>
        <w:spacing w:after="0" w:line="154"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The exhibits listed below are furnished as part of this Quarterly Report on Form 10-Q. Exhibits required by Item 601 of Regulation S-K of the Securities Act, which are not listed, are not applicable.</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00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1000" w:type="dxa"/>
            <w:vAlign w:val="bottom"/>
            <w:gridSpan w:val="2"/>
          </w:tcPr>
          <w:p>
            <w:pPr>
              <w:spacing w:after="0" w:line="114" w:lineRule="exact"/>
              <w:rPr>
                <w:sz w:val="20"/>
                <w:szCs w:val="20"/>
                <w:color w:val="auto"/>
              </w:rPr>
            </w:pPr>
            <w:r>
              <w:rPr>
                <w:rFonts w:ascii="Arial" w:cs="Arial" w:eastAsia="Arial" w:hAnsi="Arial"/>
                <w:sz w:val="10"/>
                <w:szCs w:val="10"/>
                <w:color w:val="auto"/>
              </w:rPr>
              <w:t>N</w:t>
            </w:r>
            <w:r>
              <w:rPr>
                <w:rFonts w:ascii="Arial" w:cs="Arial" w:eastAsia="Arial" w:hAnsi="Arial"/>
                <w:sz w:val="10"/>
                <w:szCs w:val="10"/>
                <w:b w:val="1"/>
                <w:bCs w:val="1"/>
                <w:color w:val="auto"/>
              </w:rPr>
              <w:t>umber</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00" w:type="dxa"/>
            <w:vAlign w:val="bottom"/>
            <w:gridSpan w:val="17"/>
          </w:tcPr>
          <w:p>
            <w:pPr>
              <w:ind w:left="80"/>
              <w:spacing w:after="0" w:line="114" w:lineRule="exact"/>
              <w:rPr>
                <w:sz w:val="20"/>
                <w:szCs w:val="20"/>
                <w:color w:val="auto"/>
              </w:rPr>
            </w:pPr>
            <w:r>
              <w:rPr>
                <w:rFonts w:ascii="Arial" w:cs="Arial" w:eastAsia="Arial" w:hAnsi="Arial"/>
                <w:sz w:val="10"/>
                <w:szCs w:val="10"/>
                <w:b w:val="1"/>
                <w:bCs w:val="1"/>
                <w:color w:val="auto"/>
              </w:rPr>
              <w:t>Description</w:t>
            </w:r>
          </w:p>
        </w:tc>
      </w:tr>
      <w:tr>
        <w:trPr>
          <w:trHeight w:val="106"/>
        </w:trPr>
        <w:tc>
          <w:tcPr>
            <w:tcW w:w="860" w:type="dxa"/>
            <w:vAlign w:val="bottom"/>
            <w:tcBorders>
              <w:top w:val="single" w:sz="8" w:color="auto"/>
            </w:tcBorders>
          </w:tcPr>
          <w:p>
            <w:pPr>
              <w:ind w:left="100"/>
              <w:spacing w:after="0" w:line="106" w:lineRule="exact"/>
              <w:rPr>
                <w:sz w:val="20"/>
                <w:szCs w:val="20"/>
                <w:color w:val="auto"/>
              </w:rPr>
            </w:pPr>
            <w:r>
              <w:rPr>
                <w:rFonts w:ascii="Arial" w:cs="Arial" w:eastAsia="Arial" w:hAnsi="Arial"/>
                <w:sz w:val="12"/>
                <w:szCs w:val="12"/>
                <w:color w:val="auto"/>
              </w:rPr>
              <w:t>2.1</w:t>
            </w:r>
          </w:p>
        </w:tc>
        <w:tc>
          <w:tcPr>
            <w:tcW w:w="140" w:type="dxa"/>
            <w:vAlign w:val="bottom"/>
          </w:tcPr>
          <w:p>
            <w:pPr>
              <w:spacing w:after="0"/>
              <w:rPr>
                <w:sz w:val="9"/>
                <w:szCs w:val="9"/>
                <w:color w:val="auto"/>
              </w:rPr>
            </w:pPr>
          </w:p>
        </w:tc>
        <w:tc>
          <w:tcPr>
            <w:tcW w:w="7960" w:type="dxa"/>
            <w:vAlign w:val="bottom"/>
            <w:tcBorders>
              <w:top w:val="single" w:sz="8" w:color="auto"/>
            </w:tcBorders>
            <w:gridSpan w:val="28"/>
          </w:tcPr>
          <w:p>
            <w:pPr>
              <w:spacing w:after="0" w:line="106" w:lineRule="exact"/>
              <w:rPr>
                <w:rFonts w:ascii="Arial" w:cs="Arial" w:eastAsia="Arial" w:hAnsi="Arial"/>
                <w:sz w:val="12"/>
                <w:szCs w:val="12"/>
                <w:color w:val="0000EE"/>
                <w:w w:val="90"/>
              </w:rPr>
            </w:pPr>
            <w:hyperlink r:id="rId96">
              <w:r>
                <w:rPr>
                  <w:rFonts w:ascii="Arial" w:cs="Arial" w:eastAsia="Arial" w:hAnsi="Arial"/>
                  <w:sz w:val="12"/>
                  <w:szCs w:val="12"/>
                  <w:color w:val="0000EE"/>
                  <w:w w:val="90"/>
                </w:rPr>
                <w:t>Second Amended Prepackaged Joint Chapter 11 Plan of Reorganization of Ferrellgas Partners, L.P. and Ferrellgas Partners Finance Corp. Incorporated by reference</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6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r:id="rId96">
              <w:r>
                <w:rPr>
                  <w:rFonts w:ascii="Arial" w:cs="Arial" w:eastAsia="Arial" w:hAnsi="Arial"/>
                  <w:sz w:val="12"/>
                  <w:szCs w:val="12"/>
                  <w:color w:val="0000EE"/>
                </w:rPr>
                <w:t>to Exhibit 99.1 to our Quarterly Report on Form 10-Q filed March 8, 2021.</w:t>
              </w:r>
            </w:hyperlink>
          </w:p>
        </w:tc>
        <w:tc>
          <w:tcPr>
            <w:tcW w:w="100" w:type="dxa"/>
            <w:vAlign w:val="bottom"/>
            <w:gridSpan w:val="4"/>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2.2</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89"/>
              </w:rPr>
            </w:pPr>
            <w:hyperlink r:id="rId97">
              <w:r>
                <w:rPr>
                  <w:rFonts w:ascii="Arial" w:cs="Arial" w:eastAsia="Arial" w:hAnsi="Arial"/>
                  <w:sz w:val="12"/>
                  <w:szCs w:val="12"/>
                  <w:color w:val="0000EE"/>
                  <w:w w:val="89"/>
                </w:rPr>
                <w:t>Transaction Support Agreement, dated December 10, 2020, by and among the Company Parties (as defined therein) and the Consenting Lenders (as defined therein).</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6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91"/>
              </w:rPr>
            </w:pPr>
            <w:hyperlink r:id="rId97">
              <w:r>
                <w:rPr>
                  <w:rFonts w:ascii="Arial" w:cs="Arial" w:eastAsia="Arial" w:hAnsi="Arial"/>
                  <w:sz w:val="12"/>
                  <w:szCs w:val="12"/>
                  <w:color w:val="0000EE"/>
                  <w:w w:val="91"/>
                </w:rPr>
                <w:t>Incorporated by reference to Exhibit 10.1 to our Current Report on Form 8-K filed December 11, 2020.</w:t>
              </w:r>
            </w:hyperlink>
          </w:p>
        </w:tc>
        <w:tc>
          <w:tcPr>
            <w:tcW w:w="2960" w:type="dxa"/>
            <w:vAlign w:val="bottom"/>
            <w:tcBorders>
              <w:top w:val="single" w:sz="8" w:color="0000EE"/>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3.1</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1"/>
              </w:rPr>
            </w:pPr>
            <w:hyperlink r:id="rId98">
              <w:r>
                <w:rPr>
                  <w:rFonts w:ascii="Arial" w:cs="Arial" w:eastAsia="Arial" w:hAnsi="Arial"/>
                  <w:sz w:val="12"/>
                  <w:szCs w:val="12"/>
                  <w:color w:val="0000EE"/>
                  <w:w w:val="91"/>
                </w:rPr>
                <w:t>Certificate of Limited Partnership of Ferrellgas Partners, L.P. Incorporated by reference to Exhibit 3.1 to our Annual Report on Form 10-K filed September 29, 2015.</w:t>
              </w:r>
            </w:hyperlink>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3.2</w:t>
            </w:r>
          </w:p>
        </w:tc>
        <w:tc>
          <w:tcPr>
            <w:tcW w:w="140" w:type="dxa"/>
            <w:vAlign w:val="bottom"/>
          </w:tcPr>
          <w:p>
            <w:pPr>
              <w:spacing w:after="0"/>
              <w:rPr>
                <w:sz w:val="10"/>
                <w:szCs w:val="10"/>
                <w:color w:val="auto"/>
              </w:rPr>
            </w:pPr>
          </w:p>
        </w:tc>
        <w:tc>
          <w:tcPr>
            <w:tcW w:w="7700" w:type="dxa"/>
            <w:vAlign w:val="bottom"/>
            <w:tcBorders>
              <w:top w:val="single" w:sz="8" w:color="0000EE"/>
              <w:bottom w:val="single" w:sz="8" w:color="0000EE"/>
            </w:tcBorders>
            <w:gridSpan w:val="19"/>
          </w:tcPr>
          <w:p>
            <w:pPr>
              <w:spacing w:after="0" w:line="124" w:lineRule="exact"/>
              <w:rPr>
                <w:rFonts w:ascii="Arial" w:cs="Arial" w:eastAsia="Arial" w:hAnsi="Arial"/>
                <w:sz w:val="12"/>
                <w:szCs w:val="12"/>
                <w:color w:val="0000EE"/>
                <w:w w:val="90"/>
              </w:rPr>
            </w:pPr>
            <w:hyperlink r:id="rId99">
              <w:r>
                <w:rPr>
                  <w:rFonts w:ascii="Arial" w:cs="Arial" w:eastAsia="Arial" w:hAnsi="Arial"/>
                  <w:sz w:val="12"/>
                  <w:szCs w:val="12"/>
                  <w:color w:val="0000EE"/>
                  <w:w w:val="90"/>
                </w:rPr>
                <w:t>Fifth Amended and Restated Agreement of Limited Partnership of Ferrellgas Partners, L.P. Incorporated by reference to Exhibit 3.14 to our Quarterly Report on</w:t>
              </w:r>
            </w:hyperlink>
          </w:p>
        </w:tc>
        <w:tc>
          <w:tcPr>
            <w:tcW w:w="220" w:type="dxa"/>
            <w:vAlign w:val="bottom"/>
            <w:tcBorders>
              <w:top w:val="single" w:sz="8" w:color="0000EE"/>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bottom w:val="single" w:sz="8" w:color="0000EE"/>
            </w:tcBorders>
            <w:gridSpan w:val="3"/>
          </w:tcPr>
          <w:p>
            <w:pPr>
              <w:spacing w:after="0" w:line="124" w:lineRule="exact"/>
              <w:rPr>
                <w:rFonts w:ascii="Arial" w:cs="Arial" w:eastAsia="Arial" w:hAnsi="Arial"/>
                <w:sz w:val="12"/>
                <w:szCs w:val="12"/>
                <w:color w:val="0000EE"/>
                <w:w w:val="90"/>
              </w:rPr>
            </w:pPr>
            <w:hyperlink r:id="rId99">
              <w:r>
                <w:rPr>
                  <w:rFonts w:ascii="Arial" w:cs="Arial" w:eastAsia="Arial" w:hAnsi="Arial"/>
                  <w:sz w:val="12"/>
                  <w:szCs w:val="12"/>
                  <w:color w:val="0000EE"/>
                  <w:w w:val="90"/>
                </w:rPr>
                <w:t>Form 10-Q filed June 7, 2018.</w:t>
              </w:r>
            </w:hyperlink>
          </w:p>
        </w:tc>
        <w:tc>
          <w:tcPr>
            <w:tcW w:w="6500" w:type="dxa"/>
            <w:vAlign w:val="bottom"/>
            <w:gridSpan w:val="25"/>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3.3</w:t>
            </w:r>
          </w:p>
        </w:tc>
        <w:tc>
          <w:tcPr>
            <w:tcW w:w="140" w:type="dxa"/>
            <w:vAlign w:val="bottom"/>
          </w:tcPr>
          <w:p>
            <w:pPr>
              <w:spacing w:after="0"/>
              <w:rPr>
                <w:sz w:val="10"/>
                <w:szCs w:val="10"/>
                <w:color w:val="auto"/>
              </w:rPr>
            </w:pPr>
          </w:p>
        </w:tc>
        <w:tc>
          <w:tcPr>
            <w:tcW w:w="774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r:id="rId100">
              <w:r>
                <w:rPr>
                  <w:rFonts w:ascii="Arial" w:cs="Arial" w:eastAsia="Arial" w:hAnsi="Arial"/>
                  <w:sz w:val="12"/>
                  <w:szCs w:val="12"/>
                  <w:color w:val="0000EE"/>
                  <w:w w:val="90"/>
                </w:rPr>
                <w:t>First Amendment to Fifth Amended and Restated Agreement of Limited Partnership of Ferrellgas Partners, L.P., dated as of December 11, 2020. Incorporated by</w:t>
              </w:r>
            </w:hyperlink>
          </w:p>
        </w:tc>
        <w:tc>
          <w:tcPr>
            <w:tcW w:w="22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rPr>
            </w:pPr>
            <w:hyperlink r:id="rId100">
              <w:r>
                <w:rPr>
                  <w:rFonts w:ascii="Arial" w:cs="Arial" w:eastAsia="Arial" w:hAnsi="Arial"/>
                  <w:sz w:val="12"/>
                  <w:szCs w:val="12"/>
                  <w:color w:val="0000EE"/>
                </w:rPr>
                <w:t>reference to Exhibit 3.3 to our Quarterly Report on Form 10-Q filed December 15,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3.4</w:t>
            </w:r>
          </w:p>
        </w:tc>
        <w:tc>
          <w:tcPr>
            <w:tcW w:w="140" w:type="dxa"/>
            <w:vAlign w:val="bottom"/>
          </w:tcPr>
          <w:p>
            <w:pPr>
              <w:spacing w:after="0"/>
              <w:rPr>
                <w:sz w:val="10"/>
                <w:szCs w:val="10"/>
                <w:color w:val="auto"/>
              </w:rPr>
            </w:pPr>
          </w:p>
        </w:tc>
        <w:tc>
          <w:tcPr>
            <w:tcW w:w="784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r:id="rId101">
              <w:r>
                <w:rPr>
                  <w:rFonts w:ascii="Arial" w:cs="Arial" w:eastAsia="Arial" w:hAnsi="Arial"/>
                  <w:sz w:val="12"/>
                  <w:szCs w:val="12"/>
                  <w:color w:val="0000EE"/>
                  <w:w w:val="90"/>
                </w:rPr>
                <w:t>Sixth Amended and Restated Agreement of Limited Partnership of Ferrellgas Partners, L.P. dated as of March 30, 2021. Incorporated by reference to Exhibit 3.1 to</w:t>
              </w:r>
            </w:hyperlink>
          </w:p>
        </w:tc>
        <w:tc>
          <w:tcPr>
            <w:tcW w:w="12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rPr>
            </w:pPr>
            <w:hyperlink r:id="rId101">
              <w:r>
                <w:rPr>
                  <w:rFonts w:ascii="Arial" w:cs="Arial" w:eastAsia="Arial" w:hAnsi="Arial"/>
                  <w:sz w:val="12"/>
                  <w:szCs w:val="12"/>
                  <w:color w:val="0000EE"/>
                </w:rPr>
                <w:t>our Current Report on Form 8-K 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3.5</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3"/>
              </w:rPr>
            </w:pPr>
            <w:hyperlink r:id="rId102">
              <w:r>
                <w:rPr>
                  <w:rFonts w:ascii="Arial" w:cs="Arial" w:eastAsia="Arial" w:hAnsi="Arial"/>
                  <w:sz w:val="12"/>
                  <w:szCs w:val="12"/>
                  <w:color w:val="0000EE"/>
                  <w:w w:val="93"/>
                </w:rPr>
                <w:t>Certificate of Incorporation of Ferrellgas Partners Finance Corp. filed with the Delaware Division of Corporations on March 28, 1996. Incorporated by reference to</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4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r:id="rId102">
              <w:r>
                <w:rPr>
                  <w:rFonts w:ascii="Arial" w:cs="Arial" w:eastAsia="Arial" w:hAnsi="Arial"/>
                  <w:sz w:val="12"/>
                  <w:szCs w:val="12"/>
                  <w:color w:val="0000EE"/>
                </w:rPr>
                <w:t>Exhibit 3.6 to our registration statement on Form S-3 filed March 6, 2009.</w:t>
              </w:r>
            </w:hyperlink>
          </w:p>
        </w:tc>
        <w:tc>
          <w:tcPr>
            <w:tcW w:w="120" w:type="dxa"/>
            <w:vAlign w:val="bottom"/>
            <w:gridSpan w:val="5"/>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3.6</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3"/>
              </w:rPr>
            </w:pPr>
            <w:hyperlink r:id="rId103">
              <w:r>
                <w:rPr>
                  <w:rFonts w:ascii="Arial" w:cs="Arial" w:eastAsia="Arial" w:hAnsi="Arial"/>
                  <w:sz w:val="12"/>
                  <w:szCs w:val="12"/>
                  <w:color w:val="0000EE"/>
                  <w:w w:val="93"/>
                </w:rPr>
                <w:t>Bylaws of Ferrellgas Partners Finance Corp. adopted as of April 1, 1996. Incorporated by reference to Exhibit 3.7 to our registration statement on Form S-3 filed</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9"/>
              </w:rPr>
            </w:pPr>
            <w:hyperlink r:id="rId103">
              <w:r>
                <w:rPr>
                  <w:rFonts w:ascii="Arial" w:cs="Arial" w:eastAsia="Arial" w:hAnsi="Arial"/>
                  <w:sz w:val="12"/>
                  <w:szCs w:val="12"/>
                  <w:color w:val="0000EE"/>
                  <w:w w:val="89"/>
                </w:rPr>
                <w:t>March 6, 2009.</w:t>
              </w:r>
            </w:hyperlink>
          </w:p>
        </w:tc>
        <w:tc>
          <w:tcPr>
            <w:tcW w:w="6980" w:type="dxa"/>
            <w:vAlign w:val="bottom"/>
            <w:tcBorders>
              <w:top w:val="single" w:sz="8" w:color="0000EE"/>
            </w:tcBorders>
            <w:gridSpan w:val="18"/>
          </w:tcPr>
          <w:p>
            <w:pPr>
              <w:spacing w:after="0"/>
              <w:rPr>
                <w:sz w:val="10"/>
                <w:szCs w:val="10"/>
                <w:color w:val="auto"/>
              </w:rPr>
            </w:pPr>
          </w:p>
        </w:tc>
        <w:tc>
          <w:tcPr>
            <w:tcW w:w="240" w:type="dxa"/>
            <w:vAlign w:val="bottom"/>
            <w:gridSpan w:val="8"/>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3.7</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7"/>
              </w:rPr>
            </w:pPr>
            <w:hyperlink r:id="rId104">
              <w:r>
                <w:rPr>
                  <w:rFonts w:ascii="Arial" w:cs="Arial" w:eastAsia="Arial" w:hAnsi="Arial"/>
                  <w:sz w:val="12"/>
                  <w:szCs w:val="12"/>
                  <w:color w:val="0000EE"/>
                  <w:w w:val="97"/>
                </w:rPr>
                <w:t>Certificate of Limited Partnership of Ferrellgas, L.P. Incorporated by reference to Exhibit 3.9 to our Annual Report on Form 10-K filed September 29, 2015.</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3.8</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4"/>
              </w:rPr>
            </w:pPr>
            <w:hyperlink r:id="rId105">
              <w:r>
                <w:rPr>
                  <w:rFonts w:ascii="Arial" w:cs="Arial" w:eastAsia="Arial" w:hAnsi="Arial"/>
                  <w:sz w:val="12"/>
                  <w:szCs w:val="12"/>
                  <w:color w:val="0000EE"/>
                  <w:w w:val="94"/>
                </w:rPr>
                <w:t>Fourth Amended and Restated Agreement of Limited Partnership of Ferrellgas, L.P., dated as of April 24, 2020. Incorporated by reference to Exhibit 3.1 of our</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4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105">
              <w:r>
                <w:rPr>
                  <w:rFonts w:ascii="Arial" w:cs="Arial" w:eastAsia="Arial" w:hAnsi="Arial"/>
                  <w:sz w:val="12"/>
                  <w:szCs w:val="12"/>
                  <w:color w:val="0000EE"/>
                </w:rPr>
                <w:t>Current Report on Form 8-K filed on April 27, 2020.</w:t>
              </w:r>
            </w:hyperlink>
          </w:p>
        </w:tc>
        <w:tc>
          <w:tcPr>
            <w:tcW w:w="320" w:type="dxa"/>
            <w:vAlign w:val="bottom"/>
            <w:gridSpan w:val="11"/>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3.9</w:t>
            </w:r>
          </w:p>
        </w:tc>
        <w:tc>
          <w:tcPr>
            <w:tcW w:w="140" w:type="dxa"/>
            <w:vAlign w:val="bottom"/>
          </w:tcPr>
          <w:p>
            <w:pPr>
              <w:spacing w:after="0"/>
              <w:rPr>
                <w:sz w:val="10"/>
                <w:szCs w:val="10"/>
                <w:color w:val="auto"/>
              </w:rPr>
            </w:pPr>
          </w:p>
        </w:tc>
        <w:tc>
          <w:tcPr>
            <w:tcW w:w="762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06">
              <w:r>
                <w:rPr>
                  <w:rFonts w:ascii="Arial" w:cs="Arial" w:eastAsia="Arial" w:hAnsi="Arial"/>
                  <w:sz w:val="12"/>
                  <w:szCs w:val="12"/>
                  <w:color w:val="0000EE"/>
                  <w:w w:val="90"/>
                </w:rPr>
                <w:t>Fifth Amended and Restated Agreement of Limited Partnership of Ferrellgas, L.P., dated as of March 30, 2021. Incorporated by reference to Exhibit 3.2 of our</w:t>
              </w:r>
            </w:hyperlink>
          </w:p>
        </w:tc>
        <w:tc>
          <w:tcPr>
            <w:tcW w:w="340" w:type="dxa"/>
            <w:vAlign w:val="bottom"/>
            <w:gridSpan w:val="1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24" w:lineRule="exact"/>
              <w:rPr>
                <w:rFonts w:ascii="Arial" w:cs="Arial" w:eastAsia="Arial" w:hAnsi="Arial"/>
                <w:sz w:val="12"/>
                <w:szCs w:val="12"/>
                <w:color w:val="0000EE"/>
                <w:w w:val="93"/>
              </w:rPr>
            </w:pPr>
            <w:hyperlink r:id="rId106">
              <w:r>
                <w:rPr>
                  <w:rFonts w:ascii="Arial" w:cs="Arial" w:eastAsia="Arial" w:hAnsi="Arial"/>
                  <w:sz w:val="12"/>
                  <w:szCs w:val="12"/>
                  <w:color w:val="0000EE"/>
                  <w:w w:val="93"/>
                </w:rPr>
                <w:t>Current Report on Form 8-K filed April 5, 2021.</w:t>
              </w:r>
            </w:hyperlink>
          </w:p>
        </w:tc>
        <w:tc>
          <w:tcPr>
            <w:tcW w:w="5620" w:type="dxa"/>
            <w:vAlign w:val="bottom"/>
            <w:gridSpan w:val="23"/>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3.10</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1"/>
              </w:rPr>
            </w:pPr>
            <w:hyperlink r:id="rId107">
              <w:r>
                <w:rPr>
                  <w:rFonts w:ascii="Arial" w:cs="Arial" w:eastAsia="Arial" w:hAnsi="Arial"/>
                  <w:sz w:val="12"/>
                  <w:szCs w:val="12"/>
                  <w:color w:val="0000EE"/>
                  <w:w w:val="91"/>
                </w:rPr>
                <w:t>First Amendment to the Fifth Amended and Restated Agreement of Limited Partnership of Ferrellgas, L.P., dated as of March 30, 2021. Incorporated by reference to</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2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3"/>
              </w:rPr>
            </w:pPr>
            <w:hyperlink r:id="rId107">
              <w:r>
                <w:rPr>
                  <w:rFonts w:ascii="Arial" w:cs="Arial" w:eastAsia="Arial" w:hAnsi="Arial"/>
                  <w:sz w:val="12"/>
                  <w:szCs w:val="12"/>
                  <w:color w:val="0000EE"/>
                  <w:w w:val="93"/>
                </w:rPr>
                <w:t>Exhibit 3.3 of our Current Report on Form 8-K filed April 5, 2021.</w:t>
              </w:r>
            </w:hyperlink>
          </w:p>
        </w:tc>
        <w:tc>
          <w:tcPr>
            <w:tcW w:w="4680" w:type="dxa"/>
            <w:vAlign w:val="bottom"/>
            <w:tcBorders>
              <w:top w:val="single" w:sz="8" w:color="0000EE"/>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3.11</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3"/>
              </w:rPr>
            </w:pPr>
            <w:hyperlink r:id="rId108">
              <w:r>
                <w:rPr>
                  <w:rFonts w:ascii="Arial" w:cs="Arial" w:eastAsia="Arial" w:hAnsi="Arial"/>
                  <w:sz w:val="12"/>
                  <w:szCs w:val="12"/>
                  <w:color w:val="0000EE"/>
                  <w:w w:val="93"/>
                </w:rPr>
                <w:t>Certificate of Incorporation of Ferrellgas Finance Corp. filed with the Delaware Division of Corporations on January 16, 2003. Incorporated by reference to Exhibit</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8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0"/>
              </w:rPr>
            </w:pPr>
            <w:hyperlink r:id="rId108">
              <w:r>
                <w:rPr>
                  <w:rFonts w:ascii="Arial" w:cs="Arial" w:eastAsia="Arial" w:hAnsi="Arial"/>
                  <w:sz w:val="12"/>
                  <w:szCs w:val="12"/>
                  <w:color w:val="0000EE"/>
                  <w:w w:val="90"/>
                </w:rPr>
                <w:t>3.</w:t>
              </w:r>
              <w:r>
                <w:rPr>
                  <w:rFonts w:ascii="Arial" w:cs="Arial" w:eastAsia="Arial" w:hAnsi="Arial"/>
                  <w:sz w:val="12"/>
                  <w:szCs w:val="12"/>
                  <w:u w:val="single" w:color="auto"/>
                  <w:color w:val="0000EE"/>
                  <w:w w:val="90"/>
                </w:rPr>
                <w:t>8</w:t>
              </w:r>
              <w:r>
                <w:rPr>
                  <w:rFonts w:ascii="Arial" w:cs="Arial" w:eastAsia="Arial" w:hAnsi="Arial"/>
                  <w:sz w:val="12"/>
                  <w:szCs w:val="12"/>
                  <w:color w:val="0000EE"/>
                  <w:w w:val="90"/>
                </w:rPr>
                <w:t xml:space="preserve"> to our registration statement on Form S-3 filed March 6, 2009.</w:t>
              </w:r>
            </w:hyperlink>
          </w:p>
        </w:tc>
        <w:tc>
          <w:tcPr>
            <w:tcW w:w="4680" w:type="dxa"/>
            <w:vAlign w:val="bottom"/>
            <w:tcBorders>
              <w:top w:val="single" w:sz="8" w:color="0000EE"/>
            </w:tcBorders>
            <w:gridSpan w:val="16"/>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3.12</w:t>
            </w:r>
          </w:p>
        </w:tc>
        <w:tc>
          <w:tcPr>
            <w:tcW w:w="140" w:type="dxa"/>
            <w:vAlign w:val="bottom"/>
          </w:tcPr>
          <w:p>
            <w:pPr>
              <w:spacing w:after="0"/>
              <w:rPr>
                <w:sz w:val="10"/>
                <w:szCs w:val="10"/>
                <w:color w:val="auto"/>
              </w:rPr>
            </w:pPr>
          </w:p>
        </w:tc>
        <w:tc>
          <w:tcPr>
            <w:tcW w:w="7960" w:type="dxa"/>
            <w:vAlign w:val="bottom"/>
            <w:tcBorders>
              <w:bottom w:val="single" w:sz="8" w:color="0000EE"/>
            </w:tcBorders>
            <w:gridSpan w:val="28"/>
          </w:tcPr>
          <w:p>
            <w:pPr>
              <w:spacing w:after="0" w:line="124" w:lineRule="exact"/>
              <w:rPr>
                <w:rFonts w:ascii="Arial" w:cs="Arial" w:eastAsia="Arial" w:hAnsi="Arial"/>
                <w:sz w:val="12"/>
                <w:szCs w:val="12"/>
                <w:color w:val="0000EE"/>
                <w:w w:val="90"/>
              </w:rPr>
            </w:pPr>
            <w:hyperlink r:id="rId109">
              <w:r>
                <w:rPr>
                  <w:rFonts w:ascii="Arial" w:cs="Arial" w:eastAsia="Arial" w:hAnsi="Arial"/>
                  <w:sz w:val="12"/>
                  <w:szCs w:val="12"/>
                  <w:color w:val="0000EE"/>
                  <w:w w:val="90"/>
                </w:rPr>
                <w:t>Bylaws of Ferrellgas Finance Corp. adopted as of January 16, 2003. Incorporated by reference to Exhibit 3.9 to our registration statement on Form S-3 filed March 6,</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0000EE"/>
            </w:tcBorders>
          </w:tcPr>
          <w:p>
            <w:pPr>
              <w:spacing w:after="0" w:line="124" w:lineRule="exact"/>
              <w:rPr>
                <w:rFonts w:ascii="Arial" w:cs="Arial" w:eastAsia="Arial" w:hAnsi="Arial"/>
                <w:sz w:val="12"/>
                <w:szCs w:val="12"/>
                <w:color w:val="0000EE"/>
                <w:w w:val="86"/>
              </w:rPr>
            </w:pPr>
            <w:hyperlink r:id="rId109">
              <w:r>
                <w:rPr>
                  <w:rFonts w:ascii="Arial" w:cs="Arial" w:eastAsia="Arial" w:hAnsi="Arial"/>
                  <w:sz w:val="12"/>
                  <w:szCs w:val="12"/>
                  <w:color w:val="0000EE"/>
                  <w:w w:val="86"/>
                </w:rPr>
                <w:t>2009.</w:t>
              </w:r>
            </w:hyperlink>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5"/>
              </w:rPr>
            </w:pPr>
            <w:hyperlink r:id="rId110">
              <w:r>
                <w:rPr>
                  <w:rFonts w:ascii="Arial" w:cs="Arial" w:eastAsia="Arial" w:hAnsi="Arial"/>
                  <w:sz w:val="12"/>
                  <w:szCs w:val="12"/>
                  <w:color w:val="0000EE"/>
                  <w:w w:val="95"/>
                </w:rPr>
                <w:t>Specimen Certificate evidencing Common Units representing Limited Partner Interests. Incorporated by reference to Exhibit A of Exhibit 3.1 to our registration</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8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110">
              <w:r>
                <w:rPr>
                  <w:rFonts w:ascii="Arial" w:cs="Arial" w:eastAsia="Arial" w:hAnsi="Arial"/>
                  <w:sz w:val="12"/>
                  <w:szCs w:val="12"/>
                  <w:color w:val="0000EE"/>
                </w:rPr>
                <w:t>statement on Form S-3 filed March 6, 2009.</w:t>
              </w:r>
            </w:hyperlink>
          </w:p>
        </w:tc>
        <w:tc>
          <w:tcPr>
            <w:tcW w:w="280" w:type="dxa"/>
            <w:vAlign w:val="bottom"/>
            <w:gridSpan w:val="10"/>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4.2</w:t>
            </w:r>
          </w:p>
        </w:tc>
        <w:tc>
          <w:tcPr>
            <w:tcW w:w="140" w:type="dxa"/>
            <w:vAlign w:val="bottom"/>
          </w:tcPr>
          <w:p>
            <w:pPr>
              <w:spacing w:after="0"/>
              <w:rPr>
                <w:sz w:val="10"/>
                <w:szCs w:val="10"/>
                <w:color w:val="auto"/>
              </w:rPr>
            </w:pPr>
          </w:p>
        </w:tc>
        <w:tc>
          <w:tcPr>
            <w:tcW w:w="7940" w:type="dxa"/>
            <w:vAlign w:val="bottom"/>
            <w:tcBorders>
              <w:bottom w:val="single" w:sz="8" w:color="0000EE"/>
            </w:tcBorders>
            <w:gridSpan w:val="27"/>
          </w:tcPr>
          <w:p>
            <w:pPr>
              <w:spacing w:after="0" w:line="124" w:lineRule="exact"/>
              <w:rPr>
                <w:rFonts w:ascii="Arial" w:cs="Arial" w:eastAsia="Arial" w:hAnsi="Arial"/>
                <w:sz w:val="12"/>
                <w:szCs w:val="12"/>
                <w:color w:val="0000EE"/>
                <w:w w:val="90"/>
              </w:rPr>
            </w:pPr>
            <w:hyperlink r:id="rId111">
              <w:r>
                <w:rPr>
                  <w:rFonts w:ascii="Arial" w:cs="Arial" w:eastAsia="Arial" w:hAnsi="Arial"/>
                  <w:sz w:val="12"/>
                  <w:szCs w:val="12"/>
                  <w:color w:val="0000EE"/>
                  <w:w w:val="90"/>
                </w:rPr>
                <w:t>Indenture dated as of November 4, 2013 with form of Note attached, by and among Ferrellgas, L.P., Ferrellgas Finance Corp. and U.S. Bank National Association, as</w:t>
              </w:r>
            </w:hyperlink>
          </w:p>
        </w:tc>
        <w:tc>
          <w:tcPr>
            <w:tcW w:w="2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1"/>
              </w:rPr>
            </w:pPr>
            <w:hyperlink r:id="rId111">
              <w:r>
                <w:rPr>
                  <w:rFonts w:ascii="Arial" w:cs="Arial" w:eastAsia="Arial" w:hAnsi="Arial"/>
                  <w:sz w:val="12"/>
                  <w:szCs w:val="12"/>
                  <w:color w:val="0000EE"/>
                  <w:w w:val="91"/>
                </w:rPr>
                <w:t xml:space="preserve">trustee, relating to </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475 million aggregate amount of the Registrant’s 6 3/4% Senior Notes due 2022. Incorporated by reference to Exhibit 4.1 to our Current Report</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76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91"/>
              </w:rPr>
            </w:pPr>
            <w:hyperlink r:id="rId111">
              <w:r>
                <w:rPr>
                  <w:rFonts w:ascii="Arial" w:cs="Arial" w:eastAsia="Arial" w:hAnsi="Arial"/>
                  <w:sz w:val="12"/>
                  <w:szCs w:val="12"/>
                  <w:color w:val="0000EE"/>
                  <w:w w:val="91"/>
                </w:rPr>
                <w:t>on Form 8-K filed November 5, 2013; File No. 001-11331; 000-50182; 000-50183 and 333-06693.</w:t>
              </w:r>
            </w:hyperlink>
          </w:p>
        </w:tc>
        <w:tc>
          <w:tcPr>
            <w:tcW w:w="3100" w:type="dxa"/>
            <w:vAlign w:val="bottom"/>
            <w:tcBorders>
              <w:top w:val="single" w:sz="8" w:color="0000EE"/>
            </w:tcBorders>
            <w:gridSpan w:val="11"/>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4.3</w:t>
            </w: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1"/>
              </w:rPr>
            </w:pPr>
            <w:hyperlink r:id="rId112">
              <w:r>
                <w:rPr>
                  <w:rFonts w:ascii="Arial" w:cs="Arial" w:eastAsia="Arial" w:hAnsi="Arial"/>
                  <w:sz w:val="12"/>
                  <w:szCs w:val="12"/>
                  <w:color w:val="0000EE"/>
                  <w:w w:val="91"/>
                </w:rPr>
                <w:t>Indenture dated as of April 13, 2010, among Ferrellgas Partners, L.P., Ferrellgas Partners Finance Corp. and U.S. Bank National Association, as trustee, relating to</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11"/>
            <w:shd w:val="clear" w:color="auto" w:fill="0000EE"/>
          </w:tcPr>
          <w:p>
            <w:pPr>
              <w:spacing w:after="0" w:line="20" w:lineRule="exact"/>
              <w:rPr>
                <w:sz w:val="1"/>
                <w:szCs w:val="1"/>
                <w:color w:val="auto"/>
              </w:rPr>
            </w:pPr>
          </w:p>
        </w:tc>
        <w:tc>
          <w:tcPr>
            <w:tcW w:w="4140" w:type="dxa"/>
            <w:vAlign w:val="bottom"/>
            <w:gridSpan w:val="11"/>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8"/>
          </w:tcPr>
          <w:p>
            <w:pPr>
              <w:spacing w:after="0" w:line="124" w:lineRule="exact"/>
              <w:rPr>
                <w:rFonts w:ascii="Arial" w:cs="Arial" w:eastAsia="Arial" w:hAnsi="Arial"/>
                <w:sz w:val="12"/>
                <w:szCs w:val="12"/>
                <w:color w:val="0000EE"/>
                <w:w w:val="92"/>
              </w:rPr>
            </w:pPr>
            <w:hyperlink r:id="rId112">
              <w:r>
                <w:rPr>
                  <w:rFonts w:ascii="Arial" w:cs="Arial" w:eastAsia="Arial" w:hAnsi="Arial"/>
                  <w:sz w:val="12"/>
                  <w:szCs w:val="12"/>
                  <w:u w:val="single" w:color="auto"/>
                  <w:color w:val="0000EE"/>
                  <w:w w:val="92"/>
                </w:rPr>
                <w:t>$</w:t>
              </w:r>
              <w:r>
                <w:rPr>
                  <w:rFonts w:ascii="Arial" w:cs="Arial" w:eastAsia="Arial" w:hAnsi="Arial"/>
                  <w:sz w:val="12"/>
                  <w:szCs w:val="12"/>
                  <w:color w:val="0000EE"/>
                  <w:w w:val="92"/>
                </w:rPr>
                <w:t>280 million aggregate amount of the Registrant’s 8 5/8% Senior Notes due 2020. Incorporated by reference to Exhibit 4.1 to our Current Report on Form 8-K filed</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6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r:id="rId112">
              <w:r>
                <w:rPr>
                  <w:rFonts w:ascii="Arial" w:cs="Arial" w:eastAsia="Arial" w:hAnsi="Arial"/>
                  <w:sz w:val="12"/>
                  <w:szCs w:val="12"/>
                  <w:color w:val="0000EE"/>
                </w:rPr>
                <w:t>April 13, 2010; File No. 001-11331; 000-50182; 000-50183 and 333-06693.</w:t>
              </w:r>
            </w:hyperlink>
          </w:p>
        </w:tc>
        <w:tc>
          <w:tcPr>
            <w:tcW w:w="100" w:type="dxa"/>
            <w:vAlign w:val="bottom"/>
            <w:gridSpan w:val="4"/>
          </w:tcPr>
          <w:p>
            <w:pPr>
              <w:spacing w:after="0"/>
              <w:rPr>
                <w:sz w:val="10"/>
                <w:szCs w:val="10"/>
                <w:color w:val="auto"/>
              </w:rPr>
            </w:pPr>
          </w:p>
        </w:tc>
      </w:tr>
      <w:tr>
        <w:trPr>
          <w:trHeight w:val="331"/>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Borders>
              <w:top w:val="single" w:sz="8" w:color="0000EE"/>
            </w:tcBorders>
            <w:gridSpan w:val="10"/>
          </w:tcPr>
          <w:p>
            <w:pPr>
              <w:ind w:left="3420"/>
              <w:spacing w:after="0"/>
              <w:rPr>
                <w:sz w:val="20"/>
                <w:szCs w:val="20"/>
                <w:color w:val="auto"/>
              </w:rPr>
            </w:pPr>
            <w:r>
              <w:rPr>
                <w:rFonts w:ascii="Arial" w:cs="Arial" w:eastAsia="Arial" w:hAnsi="Arial"/>
                <w:sz w:val="12"/>
                <w:szCs w:val="12"/>
                <w:color w:val="auto"/>
                <w:w w:val="74"/>
              </w:rPr>
              <w:t>99</w:t>
            </w:r>
          </w:p>
        </w:tc>
        <w:tc>
          <w:tcPr>
            <w:tcW w:w="1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99" w:name="page100"/>
    <w:bookmarkEnd w:id="9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0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547"/>
        </w:trPr>
        <w:tc>
          <w:tcPr>
            <w:tcW w:w="860" w:type="dxa"/>
            <w:vAlign w:val="bottom"/>
            <w:tcBorders>
              <w:top w:val="single" w:sz="8" w:color="0000EE"/>
            </w:tcBorders>
          </w:tcPr>
          <w:p>
            <w:pPr>
              <w:ind w:left="100"/>
              <w:spacing w:after="0"/>
              <w:rPr>
                <w:sz w:val="20"/>
                <w:szCs w:val="20"/>
                <w:color w:val="auto"/>
              </w:rPr>
            </w:pPr>
            <w:r>
              <w:rPr>
                <w:rFonts w:ascii="Arial" w:cs="Arial" w:eastAsia="Arial" w:hAnsi="Arial"/>
                <w:sz w:val="12"/>
                <w:szCs w:val="12"/>
                <w:color w:val="auto"/>
              </w:rPr>
              <w:t>4.4</w:t>
            </w:r>
          </w:p>
        </w:tc>
        <w:tc>
          <w:tcPr>
            <w:tcW w:w="140" w:type="dxa"/>
            <w:vAlign w:val="bottom"/>
          </w:tcPr>
          <w:p>
            <w:pPr>
              <w:spacing w:after="0"/>
              <w:rPr>
                <w:sz w:val="24"/>
                <w:szCs w:val="24"/>
                <w:color w:val="auto"/>
              </w:rPr>
            </w:pPr>
          </w:p>
        </w:tc>
        <w:tc>
          <w:tcPr>
            <w:tcW w:w="7840" w:type="dxa"/>
            <w:vAlign w:val="bottom"/>
            <w:tcBorders>
              <w:bottom w:val="single" w:sz="8" w:color="0000EE"/>
            </w:tcBorders>
            <w:gridSpan w:val="20"/>
          </w:tcPr>
          <w:p>
            <w:pPr>
              <w:spacing w:after="0"/>
              <w:rPr>
                <w:rFonts w:ascii="Arial" w:cs="Arial" w:eastAsia="Arial" w:hAnsi="Arial"/>
                <w:sz w:val="12"/>
                <w:szCs w:val="12"/>
                <w:color w:val="0000EE"/>
                <w:w w:val="90"/>
              </w:rPr>
            </w:pPr>
            <w:hyperlink r:id="rId113">
              <w:r>
                <w:rPr>
                  <w:rFonts w:ascii="Arial" w:cs="Arial" w:eastAsia="Arial" w:hAnsi="Arial"/>
                  <w:sz w:val="12"/>
                  <w:szCs w:val="12"/>
                  <w:color w:val="0000EE"/>
                  <w:w w:val="90"/>
                </w:rPr>
                <w:t>First Supplemental Indenture dated as of April 13, 2010, with form of Note attached, by and among Ferrellgas Partners, L.P., Ferrellgas Partners Finance Corp. and</w:t>
              </w:r>
            </w:hyperlink>
          </w:p>
        </w:tc>
        <w:tc>
          <w:tcPr>
            <w:tcW w:w="120" w:type="dxa"/>
            <w:vAlign w:val="bottom"/>
            <w:gridSpan w:val="5"/>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tcBorders>
              <w:bottom w:val="single" w:sz="8" w:color="0000EE"/>
            </w:tcBorders>
            <w:gridSpan w:val="25"/>
          </w:tcPr>
          <w:p>
            <w:pPr>
              <w:spacing w:after="0" w:line="124" w:lineRule="exact"/>
              <w:rPr>
                <w:rFonts w:ascii="Arial" w:cs="Arial" w:eastAsia="Arial" w:hAnsi="Arial"/>
                <w:sz w:val="12"/>
                <w:szCs w:val="12"/>
                <w:color w:val="0000EE"/>
                <w:w w:val="90"/>
              </w:rPr>
            </w:pPr>
            <w:hyperlink r:id="rId113">
              <w:r>
                <w:rPr>
                  <w:rFonts w:ascii="Arial" w:cs="Arial" w:eastAsia="Arial" w:hAnsi="Arial"/>
                  <w:sz w:val="12"/>
                  <w:szCs w:val="12"/>
                  <w:color w:val="0000EE"/>
                  <w:w w:val="90"/>
                </w:rPr>
                <w:t xml:space="preserve">U.S. Bank National Association, as trustee, relating to </w:t>
              </w:r>
              <w:r>
                <w:rPr>
                  <w:rFonts w:ascii="Arial" w:cs="Arial" w:eastAsia="Arial" w:hAnsi="Arial"/>
                  <w:sz w:val="12"/>
                  <w:szCs w:val="12"/>
                  <w:u w:val="single" w:color="auto"/>
                  <w:color w:val="0000EE"/>
                  <w:w w:val="90"/>
                </w:rPr>
                <w:t>$</w:t>
              </w:r>
              <w:r>
                <w:rPr>
                  <w:rFonts w:ascii="Arial" w:cs="Arial" w:eastAsia="Arial" w:hAnsi="Arial"/>
                  <w:sz w:val="12"/>
                  <w:szCs w:val="12"/>
                  <w:color w:val="0000EE"/>
                  <w:w w:val="90"/>
                </w:rPr>
                <w:t>280 million aggregate amount of the Registrant’s 8 5/8% Senior Notes due 2020. Incorporated by reference to</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0" w:type="dxa"/>
            <w:vAlign w:val="bottom"/>
            <w:tcBorders>
              <w:bottom w:val="single" w:sz="8" w:color="0000EE"/>
            </w:tcBorders>
            <w:gridSpan w:val="8"/>
          </w:tcPr>
          <w:p>
            <w:pPr>
              <w:spacing w:after="0" w:line="124" w:lineRule="exact"/>
              <w:rPr>
                <w:rFonts w:ascii="Arial" w:cs="Arial" w:eastAsia="Arial" w:hAnsi="Arial"/>
                <w:sz w:val="12"/>
                <w:szCs w:val="12"/>
                <w:color w:val="0000EE"/>
                <w:w w:val="92"/>
              </w:rPr>
            </w:pPr>
            <w:hyperlink r:id="rId113">
              <w:r>
                <w:rPr>
                  <w:rFonts w:ascii="Arial" w:cs="Arial" w:eastAsia="Arial" w:hAnsi="Arial"/>
                  <w:sz w:val="12"/>
                  <w:szCs w:val="12"/>
                  <w:color w:val="0000EE"/>
                  <w:w w:val="92"/>
                </w:rPr>
                <w:t>Exhibit 4.2 to our Current Report on Form 8-K filed April 13, 2010; File No. 001-11331; 000-50182; 000-50183 and 333-06693.</w:t>
              </w:r>
            </w:hyperlink>
          </w:p>
        </w:tc>
        <w:tc>
          <w:tcPr>
            <w:tcW w:w="1760" w:type="dxa"/>
            <w:vAlign w:val="bottom"/>
            <w:gridSpan w:val="17"/>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4.5</w:t>
            </w:r>
          </w:p>
        </w:tc>
        <w:tc>
          <w:tcPr>
            <w:tcW w:w="140" w:type="dxa"/>
            <w:vAlign w:val="bottom"/>
          </w:tcPr>
          <w:p>
            <w:pPr>
              <w:spacing w:after="0"/>
              <w:rPr>
                <w:sz w:val="10"/>
                <w:szCs w:val="10"/>
                <w:color w:val="auto"/>
              </w:rPr>
            </w:pPr>
          </w:p>
        </w:tc>
        <w:tc>
          <w:tcPr>
            <w:tcW w:w="7700" w:type="dxa"/>
            <w:vAlign w:val="bottom"/>
            <w:tcBorders>
              <w:bottom w:val="single" w:sz="8" w:color="0000EE"/>
            </w:tcBorders>
            <w:gridSpan w:val="13"/>
          </w:tcPr>
          <w:p>
            <w:pPr>
              <w:spacing w:after="0" w:line="124" w:lineRule="exact"/>
              <w:rPr>
                <w:rFonts w:ascii="Arial" w:cs="Arial" w:eastAsia="Arial" w:hAnsi="Arial"/>
                <w:sz w:val="12"/>
                <w:szCs w:val="12"/>
                <w:color w:val="0000EE"/>
                <w:w w:val="89"/>
              </w:rPr>
            </w:pPr>
            <w:hyperlink r:id="rId114">
              <w:r>
                <w:rPr>
                  <w:rFonts w:ascii="Arial" w:cs="Arial" w:eastAsia="Arial" w:hAnsi="Arial"/>
                  <w:sz w:val="12"/>
                  <w:szCs w:val="12"/>
                  <w:color w:val="0000EE"/>
                  <w:w w:val="89"/>
                </w:rPr>
                <w:t>Second Supplemental Indenture dated as of January 30, 2017, by and among Ferrellgas Partners, L.P., Ferrellgas Partners Finance Corp. and U.S. Bank National</w:t>
              </w:r>
            </w:hyperlink>
          </w:p>
        </w:tc>
        <w:tc>
          <w:tcPr>
            <w:tcW w:w="260" w:type="dxa"/>
            <w:vAlign w:val="bottom"/>
            <w:gridSpan w:val="1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92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r:id="rId114">
              <w:r>
                <w:rPr>
                  <w:rFonts w:ascii="Arial" w:cs="Arial" w:eastAsia="Arial" w:hAnsi="Arial"/>
                  <w:sz w:val="12"/>
                  <w:szCs w:val="12"/>
                  <w:color w:val="0000EE"/>
                  <w:w w:val="90"/>
                </w:rPr>
                <w:t>Association, as trustee. Incorporated by reference to Exhibit 4.3 to our Current Report on Form 8-K filed January 30, 2017.</w:t>
              </w:r>
            </w:hyperlink>
          </w:p>
        </w:tc>
        <w:tc>
          <w:tcPr>
            <w:tcW w:w="2040" w:type="dxa"/>
            <w:vAlign w:val="bottom"/>
            <w:gridSpan w:val="18"/>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4.6</w:t>
            </w:r>
          </w:p>
        </w:tc>
        <w:tc>
          <w:tcPr>
            <w:tcW w:w="140" w:type="dxa"/>
            <w:vAlign w:val="bottom"/>
          </w:tcPr>
          <w:p>
            <w:pPr>
              <w:spacing w:after="0"/>
              <w:rPr>
                <w:sz w:val="10"/>
                <w:szCs w:val="10"/>
                <w:color w:val="auto"/>
              </w:rPr>
            </w:pPr>
          </w:p>
        </w:tc>
        <w:tc>
          <w:tcPr>
            <w:tcW w:w="7840" w:type="dxa"/>
            <w:vAlign w:val="bottom"/>
            <w:tcBorders>
              <w:bottom w:val="single" w:sz="8" w:color="0000EE"/>
            </w:tcBorders>
            <w:gridSpan w:val="20"/>
          </w:tcPr>
          <w:p>
            <w:pPr>
              <w:spacing w:after="0" w:line="124" w:lineRule="exact"/>
              <w:rPr>
                <w:rFonts w:ascii="Arial" w:cs="Arial" w:eastAsia="Arial" w:hAnsi="Arial"/>
                <w:sz w:val="12"/>
                <w:szCs w:val="12"/>
                <w:color w:val="0000EE"/>
                <w:w w:val="89"/>
              </w:rPr>
            </w:pPr>
            <w:hyperlink r:id="rId115">
              <w:r>
                <w:rPr>
                  <w:rFonts w:ascii="Arial" w:cs="Arial" w:eastAsia="Arial" w:hAnsi="Arial"/>
                  <w:sz w:val="12"/>
                  <w:szCs w:val="12"/>
                  <w:color w:val="0000EE"/>
                  <w:w w:val="89"/>
                </w:rPr>
                <w:t xml:space="preserve">Indenture dated as of November 24, 2010, by and among Ferrellgas, L.P., Ferrellgas Finance Corp. and U.S. Bank National Association, as trustee, relating to </w:t>
              </w:r>
              <w:r>
                <w:rPr>
                  <w:rFonts w:ascii="Arial" w:cs="Arial" w:eastAsia="Arial" w:hAnsi="Arial"/>
                  <w:sz w:val="12"/>
                  <w:szCs w:val="12"/>
                  <w:u w:val="single" w:color="auto"/>
                  <w:color w:val="0000EE"/>
                  <w:w w:val="89"/>
                </w:rPr>
                <w:t>$</w:t>
              </w:r>
              <w:r>
                <w:rPr>
                  <w:rFonts w:ascii="Arial" w:cs="Arial" w:eastAsia="Arial" w:hAnsi="Arial"/>
                  <w:sz w:val="12"/>
                  <w:szCs w:val="12"/>
                  <w:color w:val="0000EE"/>
                  <w:w w:val="89"/>
                </w:rPr>
                <w:t>500</w:t>
              </w:r>
            </w:hyperlink>
          </w:p>
        </w:tc>
        <w:tc>
          <w:tcPr>
            <w:tcW w:w="12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15">
              <w:r>
                <w:rPr>
                  <w:rFonts w:ascii="Arial" w:cs="Arial" w:eastAsia="Arial" w:hAnsi="Arial"/>
                  <w:sz w:val="12"/>
                  <w:szCs w:val="12"/>
                  <w:color w:val="0000EE"/>
                  <w:w w:val="91"/>
                </w:rPr>
                <w:t>million aggregate amount of the Registrant’s 6 1/2% Senior Notes due 2021. Incorporated by reference to Exhibit 4.1 to our Current Report on Form 8-K filed</w:t>
              </w:r>
            </w:hyperlink>
          </w:p>
        </w:tc>
        <w:tc>
          <w:tcPr>
            <w:tcW w:w="360" w:type="dxa"/>
            <w:vAlign w:val="bottom"/>
            <w:gridSpan w:val="1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15">
              <w:r>
                <w:rPr>
                  <w:rFonts w:ascii="Arial" w:cs="Arial" w:eastAsia="Arial" w:hAnsi="Arial"/>
                  <w:sz w:val="12"/>
                  <w:szCs w:val="12"/>
                  <w:color w:val="0000EE"/>
                </w:rPr>
                <w:t>November 30, 2010; File No. 001-11331; 000-50182; 000-50183 and 333-06693.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4.7</w:t>
            </w:r>
          </w:p>
        </w:tc>
        <w:tc>
          <w:tcPr>
            <w:tcW w:w="140" w:type="dxa"/>
            <w:vAlign w:val="bottom"/>
          </w:tcPr>
          <w:p>
            <w:pPr>
              <w:spacing w:after="0"/>
              <w:rPr>
                <w:sz w:val="10"/>
                <w:szCs w:val="10"/>
                <w:color w:val="auto"/>
              </w:rPr>
            </w:pPr>
          </w:p>
        </w:tc>
        <w:tc>
          <w:tcPr>
            <w:tcW w:w="7920" w:type="dxa"/>
            <w:vAlign w:val="bottom"/>
            <w:tcBorders>
              <w:bottom w:val="single" w:sz="8" w:color="0000EE"/>
            </w:tcBorders>
            <w:gridSpan w:val="24"/>
          </w:tcPr>
          <w:p>
            <w:pPr>
              <w:spacing w:after="0" w:line="124" w:lineRule="exact"/>
              <w:rPr>
                <w:rFonts w:ascii="Arial" w:cs="Arial" w:eastAsia="Arial" w:hAnsi="Arial"/>
                <w:sz w:val="12"/>
                <w:szCs w:val="12"/>
                <w:color w:val="0000EE"/>
                <w:w w:val="89"/>
              </w:rPr>
            </w:pPr>
            <w:hyperlink r:id="rId116">
              <w:r>
                <w:rPr>
                  <w:rFonts w:ascii="Arial" w:cs="Arial" w:eastAsia="Arial" w:hAnsi="Arial"/>
                  <w:sz w:val="12"/>
                  <w:szCs w:val="12"/>
                  <w:color w:val="0000EE"/>
                  <w:w w:val="89"/>
                </w:rPr>
                <w:t>Indenture, dated June 8, 2015, by and among Ferrellgas, L.P., Ferrellgas, Finance Corp. the subsidiary guarantors party thereto, and U.S. Bank National Association,</w:t>
              </w:r>
            </w:hyperlink>
          </w:p>
        </w:tc>
        <w:tc>
          <w:tcPr>
            <w:tcW w:w="4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40" w:type="dxa"/>
            <w:vAlign w:val="bottom"/>
            <w:tcBorders>
              <w:bottom w:val="single" w:sz="8" w:color="0000EE"/>
            </w:tcBorders>
            <w:gridSpan w:val="12"/>
          </w:tcPr>
          <w:p>
            <w:pPr>
              <w:spacing w:after="0" w:line="124" w:lineRule="exact"/>
              <w:rPr>
                <w:rFonts w:ascii="Arial" w:cs="Arial" w:eastAsia="Arial" w:hAnsi="Arial"/>
                <w:sz w:val="12"/>
                <w:szCs w:val="12"/>
                <w:color w:val="0000EE"/>
                <w:w w:val="90"/>
              </w:rPr>
            </w:pPr>
            <w:hyperlink r:id="rId116">
              <w:r>
                <w:rPr>
                  <w:rFonts w:ascii="Arial" w:cs="Arial" w:eastAsia="Arial" w:hAnsi="Arial"/>
                  <w:sz w:val="12"/>
                  <w:szCs w:val="12"/>
                  <w:color w:val="0000EE"/>
                  <w:w w:val="90"/>
                </w:rPr>
                <w:t xml:space="preserve">as trustee, relating to </w:t>
              </w:r>
              <w:r>
                <w:rPr>
                  <w:rFonts w:ascii="Arial" w:cs="Arial" w:eastAsia="Arial" w:hAnsi="Arial"/>
                  <w:sz w:val="12"/>
                  <w:szCs w:val="12"/>
                  <w:u w:val="single" w:color="auto"/>
                  <w:color w:val="0000EE"/>
                  <w:w w:val="90"/>
                </w:rPr>
                <w:t>$</w:t>
              </w:r>
              <w:r>
                <w:rPr>
                  <w:rFonts w:ascii="Arial" w:cs="Arial" w:eastAsia="Arial" w:hAnsi="Arial"/>
                  <w:sz w:val="12"/>
                  <w:szCs w:val="12"/>
                  <w:color w:val="0000EE"/>
                  <w:w w:val="90"/>
                </w:rPr>
                <w:t>500 million aggregate amount of the Registrant’s 6 3/4% Senior Notes due 2023. Incorporated by reference to Exhibit 4.1 to our Current</w:t>
              </w:r>
            </w:hyperlink>
          </w:p>
        </w:tc>
        <w:tc>
          <w:tcPr>
            <w:tcW w:w="320" w:type="dxa"/>
            <w:vAlign w:val="bottom"/>
            <w:gridSpan w:val="1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16">
              <w:r>
                <w:rPr>
                  <w:rFonts w:ascii="Arial" w:cs="Arial" w:eastAsia="Arial" w:hAnsi="Arial"/>
                  <w:sz w:val="12"/>
                  <w:szCs w:val="12"/>
                  <w:color w:val="0000EE"/>
                </w:rPr>
                <w:t>Report on Form 8-K filed June 8, 2015.</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4.8</w:t>
            </w:r>
          </w:p>
        </w:tc>
        <w:tc>
          <w:tcPr>
            <w:tcW w:w="140" w:type="dxa"/>
            <w:vAlign w:val="bottom"/>
          </w:tcPr>
          <w:p>
            <w:pPr>
              <w:spacing w:after="0"/>
              <w:rPr>
                <w:sz w:val="10"/>
                <w:szCs w:val="10"/>
                <w:color w:val="auto"/>
              </w:rPr>
            </w:pPr>
          </w:p>
        </w:tc>
        <w:tc>
          <w:tcPr>
            <w:tcW w:w="7800" w:type="dxa"/>
            <w:vAlign w:val="bottom"/>
            <w:tcBorders>
              <w:bottom w:val="single" w:sz="8" w:color="0000EE"/>
            </w:tcBorders>
            <w:gridSpan w:val="18"/>
          </w:tcPr>
          <w:p>
            <w:pPr>
              <w:spacing w:after="0" w:line="124" w:lineRule="exact"/>
              <w:rPr>
                <w:rFonts w:ascii="Arial" w:cs="Arial" w:eastAsia="Arial" w:hAnsi="Arial"/>
                <w:sz w:val="12"/>
                <w:szCs w:val="12"/>
                <w:color w:val="0000EE"/>
                <w:w w:val="89"/>
              </w:rPr>
            </w:pPr>
            <w:hyperlink r:id="rId117">
              <w:r>
                <w:rPr>
                  <w:rFonts w:ascii="Arial" w:cs="Arial" w:eastAsia="Arial" w:hAnsi="Arial"/>
                  <w:sz w:val="12"/>
                  <w:szCs w:val="12"/>
                  <w:color w:val="0000EE"/>
                  <w:w w:val="89"/>
                </w:rPr>
                <w:t>Indenture, dated as of April 16, 2020, by and among Ferrellgas, L.P., Ferrellgas Finance Corp., Ferrellgas Partners, L.P., Ferrellgas, Inc., the subsidiary guarantors</w:t>
              </w:r>
            </w:hyperlink>
          </w:p>
        </w:tc>
        <w:tc>
          <w:tcPr>
            <w:tcW w:w="16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3"/>
              </w:rPr>
            </w:pPr>
            <w:hyperlink r:id="rId117">
              <w:r>
                <w:rPr>
                  <w:rFonts w:ascii="Arial" w:cs="Arial" w:eastAsia="Arial" w:hAnsi="Arial"/>
                  <w:sz w:val="12"/>
                  <w:szCs w:val="12"/>
                  <w:color w:val="0000EE"/>
                  <w:w w:val="93"/>
                </w:rPr>
                <w:t xml:space="preserve">party thereto and Delaware Trust Company, as trustee and collateral agent, relating to </w:t>
              </w:r>
              <w:r>
                <w:rPr>
                  <w:rFonts w:ascii="Arial" w:cs="Arial" w:eastAsia="Arial" w:hAnsi="Arial"/>
                  <w:sz w:val="12"/>
                  <w:szCs w:val="12"/>
                  <w:u w:val="single" w:color="auto"/>
                  <w:color w:val="0000EE"/>
                  <w:w w:val="93"/>
                </w:rPr>
                <w:t>$</w:t>
              </w:r>
              <w:r>
                <w:rPr>
                  <w:rFonts w:ascii="Arial" w:cs="Arial" w:eastAsia="Arial" w:hAnsi="Arial"/>
                  <w:sz w:val="12"/>
                  <w:szCs w:val="12"/>
                  <w:color w:val="0000EE"/>
                  <w:w w:val="93"/>
                </w:rPr>
                <w:t>700 million aggregate principal amount of 10% Senior Secured First Lien</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8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1"/>
              </w:rPr>
            </w:pPr>
            <w:hyperlink r:id="rId117">
              <w:r>
                <w:rPr>
                  <w:rFonts w:ascii="Arial" w:cs="Arial" w:eastAsia="Arial" w:hAnsi="Arial"/>
                  <w:sz w:val="12"/>
                  <w:szCs w:val="12"/>
                  <w:color w:val="0000EE"/>
                  <w:w w:val="91"/>
                </w:rPr>
                <w:t>Notes due 2025. Incorporated by reference to Exhibit 4.1 to our Current Report on Form 8-K filed April 17, 2020.</w:t>
              </w:r>
            </w:hyperlink>
          </w:p>
        </w:tc>
        <w:tc>
          <w:tcPr>
            <w:tcW w:w="2240" w:type="dxa"/>
            <w:vAlign w:val="bottom"/>
            <w:tcBorders>
              <w:top w:val="single" w:sz="8" w:color="0000EE"/>
            </w:tcBorders>
            <w:gridSpan w:val="8"/>
          </w:tcPr>
          <w:p>
            <w:pPr>
              <w:spacing w:after="0"/>
              <w:rPr>
                <w:sz w:val="10"/>
                <w:szCs w:val="10"/>
                <w:color w:val="auto"/>
              </w:rPr>
            </w:pPr>
          </w:p>
        </w:tc>
        <w:tc>
          <w:tcPr>
            <w:tcW w:w="240" w:type="dxa"/>
            <w:vAlign w:val="bottom"/>
            <w:gridSpan w:val="11"/>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4.9</w:t>
            </w:r>
          </w:p>
        </w:tc>
        <w:tc>
          <w:tcPr>
            <w:tcW w:w="140" w:type="dxa"/>
            <w:vAlign w:val="bottom"/>
          </w:tcPr>
          <w:p>
            <w:pPr>
              <w:spacing w:after="0"/>
              <w:rPr>
                <w:sz w:val="10"/>
                <w:szCs w:val="10"/>
                <w:color w:val="auto"/>
              </w:rPr>
            </w:pPr>
          </w:p>
        </w:tc>
        <w:tc>
          <w:tcPr>
            <w:tcW w:w="776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18">
              <w:r>
                <w:rPr>
                  <w:rFonts w:ascii="Arial" w:cs="Arial" w:eastAsia="Arial" w:hAnsi="Arial"/>
                  <w:sz w:val="12"/>
                  <w:szCs w:val="12"/>
                  <w:color w:val="0000EE"/>
                  <w:w w:val="90"/>
                </w:rPr>
                <w:t>Indenture relating to 5.375% Senior Notes due 2026, dated as of March 30, 2020 (with form of Note attached), among Ferrellgas Escrow, LLC and FG Operating</w:t>
              </w:r>
            </w:hyperlink>
          </w:p>
        </w:tc>
        <w:tc>
          <w:tcPr>
            <w:tcW w:w="200" w:type="dxa"/>
            <w:vAlign w:val="bottom"/>
            <w:gridSpan w:val="9"/>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78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18">
              <w:r>
                <w:rPr>
                  <w:rFonts w:ascii="Arial" w:cs="Arial" w:eastAsia="Arial" w:hAnsi="Arial"/>
                  <w:sz w:val="12"/>
                  <w:szCs w:val="12"/>
                  <w:color w:val="0000EE"/>
                  <w:w w:val="90"/>
                </w:rPr>
                <w:t>Finance Escrow Corp., as co-issuers, and U.S. Bank National Association, as trustee. Incorporated by reference to Exhibit 4.1 of our Current Report on Form 8-K</w:t>
              </w:r>
            </w:hyperlink>
          </w:p>
        </w:tc>
        <w:tc>
          <w:tcPr>
            <w:tcW w:w="18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18">
              <w:r>
                <w:rPr>
                  <w:rFonts w:ascii="Arial" w:cs="Arial" w:eastAsia="Arial" w:hAnsi="Arial"/>
                  <w:sz w:val="12"/>
                  <w:szCs w:val="12"/>
                  <w:color w:val="0000EE"/>
                </w:rPr>
                <w:t>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4.10</w:t>
            </w:r>
          </w:p>
        </w:tc>
        <w:tc>
          <w:tcPr>
            <w:tcW w:w="140" w:type="dxa"/>
            <w:vAlign w:val="bottom"/>
          </w:tcPr>
          <w:p>
            <w:pPr>
              <w:spacing w:after="0"/>
              <w:rPr>
                <w:sz w:val="10"/>
                <w:szCs w:val="10"/>
                <w:color w:val="auto"/>
              </w:rPr>
            </w:pPr>
          </w:p>
        </w:tc>
        <w:tc>
          <w:tcPr>
            <w:tcW w:w="7920" w:type="dxa"/>
            <w:vAlign w:val="bottom"/>
            <w:tcBorders>
              <w:bottom w:val="single" w:sz="8" w:color="0000EE"/>
            </w:tcBorders>
            <w:gridSpan w:val="24"/>
          </w:tcPr>
          <w:p>
            <w:pPr>
              <w:spacing w:after="0" w:line="124" w:lineRule="exact"/>
              <w:rPr>
                <w:rFonts w:ascii="Arial" w:cs="Arial" w:eastAsia="Arial" w:hAnsi="Arial"/>
                <w:sz w:val="12"/>
                <w:szCs w:val="12"/>
                <w:color w:val="0000EE"/>
                <w:w w:val="89"/>
              </w:rPr>
            </w:pPr>
            <w:hyperlink r:id="rId119">
              <w:r>
                <w:rPr>
                  <w:rFonts w:ascii="Arial" w:cs="Arial" w:eastAsia="Arial" w:hAnsi="Arial"/>
                  <w:sz w:val="12"/>
                  <w:szCs w:val="12"/>
                  <w:color w:val="0000EE"/>
                  <w:w w:val="89"/>
                </w:rPr>
                <w:t>Assumption Supplemental Indenture relating to 5.375% Senior Notes due 2026, dated as of March 30, 2021, among Ferrellgas, L.P. and Ferrellgas Finance Corp., as</w:t>
              </w:r>
            </w:hyperlink>
          </w:p>
        </w:tc>
        <w:tc>
          <w:tcPr>
            <w:tcW w:w="4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6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r:id="rId119">
              <w:r>
                <w:rPr>
                  <w:rFonts w:ascii="Arial" w:cs="Arial" w:eastAsia="Arial" w:hAnsi="Arial"/>
                  <w:sz w:val="12"/>
                  <w:szCs w:val="12"/>
                  <w:color w:val="0000EE"/>
                  <w:w w:val="90"/>
                </w:rPr>
                <w:t>co-issuers, the guarantors party thereto and U.S. Bank National Association, as trustee. Incorporated by reference to Exhibit 4.2 of our Current Report on Form 8-K</w:t>
              </w:r>
            </w:hyperlink>
          </w:p>
        </w:tc>
        <w:tc>
          <w:tcPr>
            <w:tcW w:w="10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19">
              <w:r>
                <w:rPr>
                  <w:rFonts w:ascii="Arial" w:cs="Arial" w:eastAsia="Arial" w:hAnsi="Arial"/>
                  <w:sz w:val="12"/>
                  <w:szCs w:val="12"/>
                  <w:color w:val="0000EE"/>
                </w:rPr>
                <w:t>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4.11</w:t>
            </w:r>
          </w:p>
        </w:tc>
        <w:tc>
          <w:tcPr>
            <w:tcW w:w="140" w:type="dxa"/>
            <w:vAlign w:val="bottom"/>
          </w:tcPr>
          <w:p>
            <w:pPr>
              <w:spacing w:after="0"/>
              <w:rPr>
                <w:sz w:val="10"/>
                <w:szCs w:val="10"/>
                <w:color w:val="auto"/>
              </w:rPr>
            </w:pPr>
          </w:p>
        </w:tc>
        <w:tc>
          <w:tcPr>
            <w:tcW w:w="776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20">
              <w:r>
                <w:rPr>
                  <w:rFonts w:ascii="Arial" w:cs="Arial" w:eastAsia="Arial" w:hAnsi="Arial"/>
                  <w:sz w:val="12"/>
                  <w:szCs w:val="12"/>
                  <w:color w:val="0000EE"/>
                  <w:w w:val="90"/>
                </w:rPr>
                <w:t>Indenture relating to 5.875% Senior Notes due 2026, dated as of March 30, 2020 (with form of Note attached), among Ferrellgas Escrow, LLC and FG Operating</w:t>
              </w:r>
            </w:hyperlink>
          </w:p>
        </w:tc>
        <w:tc>
          <w:tcPr>
            <w:tcW w:w="200" w:type="dxa"/>
            <w:vAlign w:val="bottom"/>
            <w:gridSpan w:val="9"/>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78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r:id="rId120">
              <w:r>
                <w:rPr>
                  <w:rFonts w:ascii="Arial" w:cs="Arial" w:eastAsia="Arial" w:hAnsi="Arial"/>
                  <w:sz w:val="12"/>
                  <w:szCs w:val="12"/>
                  <w:color w:val="0000EE"/>
                  <w:w w:val="90"/>
                </w:rPr>
                <w:t>Finance Escrow Corp., as co-issuers, and U.S. Bank National Association, as trustee. Incorporated by reference to Exhibit 4.4 of our Current Report on Form 8-K</w:t>
              </w:r>
            </w:hyperlink>
          </w:p>
        </w:tc>
        <w:tc>
          <w:tcPr>
            <w:tcW w:w="18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20">
              <w:r>
                <w:rPr>
                  <w:rFonts w:ascii="Arial" w:cs="Arial" w:eastAsia="Arial" w:hAnsi="Arial"/>
                  <w:sz w:val="12"/>
                  <w:szCs w:val="12"/>
                  <w:color w:val="0000EE"/>
                </w:rPr>
                <w:t>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4.12</w:t>
            </w:r>
          </w:p>
        </w:tc>
        <w:tc>
          <w:tcPr>
            <w:tcW w:w="140" w:type="dxa"/>
            <w:vAlign w:val="bottom"/>
          </w:tcPr>
          <w:p>
            <w:pPr>
              <w:spacing w:after="0"/>
              <w:rPr>
                <w:sz w:val="10"/>
                <w:szCs w:val="10"/>
                <w:color w:val="auto"/>
              </w:rPr>
            </w:pPr>
          </w:p>
        </w:tc>
        <w:tc>
          <w:tcPr>
            <w:tcW w:w="7920" w:type="dxa"/>
            <w:vAlign w:val="bottom"/>
            <w:tcBorders>
              <w:bottom w:val="single" w:sz="8" w:color="0000EE"/>
            </w:tcBorders>
            <w:gridSpan w:val="24"/>
          </w:tcPr>
          <w:p>
            <w:pPr>
              <w:spacing w:after="0" w:line="124" w:lineRule="exact"/>
              <w:rPr>
                <w:rFonts w:ascii="Arial" w:cs="Arial" w:eastAsia="Arial" w:hAnsi="Arial"/>
                <w:sz w:val="12"/>
                <w:szCs w:val="12"/>
                <w:color w:val="0000EE"/>
                <w:w w:val="89"/>
              </w:rPr>
            </w:pPr>
            <w:hyperlink r:id="rId121">
              <w:r>
                <w:rPr>
                  <w:rFonts w:ascii="Arial" w:cs="Arial" w:eastAsia="Arial" w:hAnsi="Arial"/>
                  <w:sz w:val="12"/>
                  <w:szCs w:val="12"/>
                  <w:color w:val="0000EE"/>
                  <w:w w:val="89"/>
                </w:rPr>
                <w:t>Assumption Supplemental Indenture relating to 5.875% Senior Notes due 2026, dated as of March 30, 2021, among Ferrellgas, L.P. and Ferrellgas Finance Corp., as</w:t>
              </w:r>
            </w:hyperlink>
          </w:p>
        </w:tc>
        <w:tc>
          <w:tcPr>
            <w:tcW w:w="4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6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r:id="rId121">
              <w:r>
                <w:rPr>
                  <w:rFonts w:ascii="Arial" w:cs="Arial" w:eastAsia="Arial" w:hAnsi="Arial"/>
                  <w:sz w:val="12"/>
                  <w:szCs w:val="12"/>
                  <w:color w:val="0000EE"/>
                  <w:w w:val="90"/>
                </w:rPr>
                <w:t>co-issuers, the guarantors party thereto and U.S. Bank National Association, as trustee. Incorporated by reference to Exhibit 4.5 of our Current Report on Form 8-K</w:t>
              </w:r>
            </w:hyperlink>
          </w:p>
        </w:tc>
        <w:tc>
          <w:tcPr>
            <w:tcW w:w="10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21">
              <w:r>
                <w:rPr>
                  <w:rFonts w:ascii="Arial" w:cs="Arial" w:eastAsia="Arial" w:hAnsi="Arial"/>
                  <w:sz w:val="12"/>
                  <w:szCs w:val="12"/>
                  <w:color w:val="0000EE"/>
                </w:rPr>
                <w:t>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4.13</w:t>
            </w: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0"/>
              </w:rPr>
            </w:pPr>
            <w:hyperlink r:id="rId122">
              <w:r>
                <w:rPr>
                  <w:rFonts w:ascii="Arial" w:cs="Arial" w:eastAsia="Arial" w:hAnsi="Arial"/>
                  <w:sz w:val="12"/>
                  <w:szCs w:val="12"/>
                  <w:color w:val="0000EE"/>
                  <w:w w:val="90"/>
                </w:rPr>
                <w:t>Investment Agreement, dated as of March 30, 2021, among Ferrellgas, L.P., Ferrellgas, Inc. and the several purchasers named therein. Incorporated by reference to</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3"/>
              </w:rPr>
            </w:pPr>
            <w:hyperlink r:id="rId122">
              <w:r>
                <w:rPr>
                  <w:rFonts w:ascii="Arial" w:cs="Arial" w:eastAsia="Arial" w:hAnsi="Arial"/>
                  <w:sz w:val="12"/>
                  <w:szCs w:val="12"/>
                  <w:color w:val="0000EE"/>
                  <w:w w:val="93"/>
                </w:rPr>
                <w:t>Exhibit 10.2 of our Current Report on Form 8-K filed April 5, 2021.</w:t>
              </w:r>
            </w:hyperlink>
          </w:p>
        </w:tc>
        <w:tc>
          <w:tcPr>
            <w:tcW w:w="4540" w:type="dxa"/>
            <w:vAlign w:val="bottom"/>
            <w:tcBorders>
              <w:top w:val="single" w:sz="8" w:color="0000EE"/>
            </w:tcBorders>
            <w:gridSpan w:val="16"/>
          </w:tcPr>
          <w:p>
            <w:pPr>
              <w:spacing w:after="0"/>
              <w:rPr>
                <w:sz w:val="10"/>
                <w:szCs w:val="10"/>
                <w:color w:val="auto"/>
              </w:rPr>
            </w:pPr>
          </w:p>
        </w:tc>
        <w:tc>
          <w:tcPr>
            <w:tcW w:w="140" w:type="dxa"/>
            <w:vAlign w:val="bottom"/>
            <w:gridSpan w:val="6"/>
          </w:tcPr>
          <w:p>
            <w:pPr>
              <w:spacing w:after="0"/>
              <w:rPr>
                <w:sz w:val="10"/>
                <w:szCs w:val="10"/>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4.14</w:t>
            </w: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5"/>
              </w:rPr>
            </w:pPr>
            <w:hyperlink r:id="rId123">
              <w:r>
                <w:rPr>
                  <w:rFonts w:ascii="Arial" w:cs="Arial" w:eastAsia="Arial" w:hAnsi="Arial"/>
                  <w:sz w:val="12"/>
                  <w:szCs w:val="12"/>
                  <w:color w:val="0000EE"/>
                  <w:w w:val="95"/>
                </w:rPr>
                <w:t>Voting Agreement, dated as of March 30, 2021, among Ferrellgas, Inc., Ferrell Companies, Inc., and the holders of Class B Units of Ferrellgas Partners, L.P.</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50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r:id="rId123">
              <w:r>
                <w:rPr>
                  <w:rFonts w:ascii="Arial" w:cs="Arial" w:eastAsia="Arial" w:hAnsi="Arial"/>
                  <w:sz w:val="12"/>
                  <w:szCs w:val="12"/>
                  <w:color w:val="0000EE"/>
                </w:rPr>
                <w:t>Incorporated by reference to Exhibit 4.1 of our Current Report on Form 8-K filed April 14, 2021.</w:t>
              </w:r>
            </w:hyperlink>
          </w:p>
        </w:tc>
        <w:tc>
          <w:tcPr>
            <w:tcW w:w="460" w:type="dxa"/>
            <w:vAlign w:val="bottom"/>
            <w:gridSpan w:val="16"/>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EE"/>
            </w:tcBorders>
            <w:gridSpan w:val="2"/>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4.15</w:t>
            </w: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1"/>
              </w:rPr>
            </w:pPr>
            <w:hyperlink r:id="rId124">
              <w:r>
                <w:rPr>
                  <w:rFonts w:ascii="Arial" w:cs="Arial" w:eastAsia="Arial" w:hAnsi="Arial"/>
                  <w:sz w:val="12"/>
                  <w:szCs w:val="12"/>
                  <w:color w:val="0000EE"/>
                  <w:w w:val="91"/>
                </w:rPr>
                <w:t>Voting Agreement, dated as of March 30, 2021, among Ferrellgas, Inc., Ferrell Companies, Inc., and the purchasers of the Senior Preferred Units of Ferrellgas, L.P.</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4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24">
              <w:r>
                <w:rPr>
                  <w:rFonts w:ascii="Arial" w:cs="Arial" w:eastAsia="Arial" w:hAnsi="Arial"/>
                  <w:sz w:val="12"/>
                  <w:szCs w:val="12"/>
                  <w:color w:val="0000EE"/>
                </w:rPr>
                <w:t>Incorporated by reference to Exhibit 4.2 of our Current Report on Form 8-K filed April 14, 2021.</w:t>
              </w:r>
            </w:hyperlink>
          </w:p>
        </w:tc>
        <w:tc>
          <w:tcPr>
            <w:tcW w:w="120" w:type="dxa"/>
            <w:vAlign w:val="bottom"/>
            <w:gridSpan w:val="5"/>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EE"/>
            </w:tcBorders>
            <w:gridSpan w:val="2"/>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10.1</w:t>
            </w: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4"/>
              </w:rPr>
            </w:pPr>
            <w:hyperlink r:id="rId125">
              <w:r>
                <w:rPr>
                  <w:rFonts w:ascii="Arial" w:cs="Arial" w:eastAsia="Arial" w:hAnsi="Arial"/>
                  <w:sz w:val="12"/>
                  <w:szCs w:val="12"/>
                  <w:color w:val="0000EE"/>
                  <w:w w:val="94"/>
                </w:rPr>
                <w:t>Credit Agreement, dated as of March 30, 2021, among Ferrellgas, L.P., Ferrellgas, Inc., certain subsidiaries of Ferrellgas, L.P., as guarantors, the lenders party</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EE"/>
            </w:tcBorders>
            <w:gridSpan w:val="2"/>
            <w:shd w:val="clear" w:color="auto" w:fill="0000EE"/>
          </w:tcPr>
          <w:p>
            <w:pPr>
              <w:spacing w:after="0" w:line="20" w:lineRule="exact"/>
              <w:rPr>
                <w:sz w:val="1"/>
                <w:szCs w:val="1"/>
                <w:color w:val="auto"/>
              </w:rPr>
            </w:pPr>
          </w:p>
        </w:tc>
        <w:tc>
          <w:tcPr>
            <w:tcW w:w="5680" w:type="dxa"/>
            <w:vAlign w:val="bottom"/>
            <w:gridSpan w:val="8"/>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0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r:id="rId125">
              <w:r>
                <w:rPr>
                  <w:rFonts w:ascii="Arial" w:cs="Arial" w:eastAsia="Arial" w:hAnsi="Arial"/>
                  <w:sz w:val="12"/>
                  <w:szCs w:val="12"/>
                  <w:color w:val="0000EE"/>
                  <w:w w:val="90"/>
                </w:rPr>
                <w:t>thereto, and JPMorgan Chase Bank, N.A., as administrative agent and collateral agent. Incorporated by reference to Exhibit 10.1 of our Current Report on Form 8-K</w:t>
              </w:r>
            </w:hyperlink>
          </w:p>
        </w:tc>
        <w:tc>
          <w:tcPr>
            <w:tcW w:w="6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25">
              <w:r>
                <w:rPr>
                  <w:rFonts w:ascii="Arial" w:cs="Arial" w:eastAsia="Arial" w:hAnsi="Arial"/>
                  <w:sz w:val="12"/>
                  <w:szCs w:val="12"/>
                  <w:color w:val="0000EE"/>
                </w:rPr>
                <w:t>filed April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10.2</w:t>
            </w: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w w:val="90"/>
              </w:rPr>
            </w:pPr>
            <w:hyperlink r:id="rId126">
              <w:r>
                <w:rPr>
                  <w:rFonts w:ascii="Arial" w:cs="Arial" w:eastAsia="Arial" w:hAnsi="Arial"/>
                  <w:sz w:val="12"/>
                  <w:szCs w:val="12"/>
                  <w:color w:val="0000EE"/>
                  <w:w w:val="90"/>
                </w:rPr>
                <w:t>Amended and Restated Receivable Sale Agreement dated as of January 19, 2012, between Ferrellgas, L.P. and Blue Rhino Global Sourcing, Inc., as originators, and</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740" w:type="dxa"/>
            <w:vAlign w:val="bottom"/>
            <w:tcBorders>
              <w:top w:val="single" w:sz="8" w:color="0000EE"/>
              <w:bottom w:val="single" w:sz="8" w:color="0000EE"/>
            </w:tcBorders>
            <w:gridSpan w:val="15"/>
          </w:tcPr>
          <w:p>
            <w:pPr>
              <w:spacing w:after="0" w:line="124" w:lineRule="exact"/>
              <w:rPr>
                <w:rFonts w:ascii="Arial" w:cs="Arial" w:eastAsia="Arial" w:hAnsi="Arial"/>
                <w:sz w:val="12"/>
                <w:szCs w:val="12"/>
                <w:color w:val="0000EE"/>
                <w:w w:val="91"/>
              </w:rPr>
            </w:pPr>
            <w:hyperlink r:id="rId126">
              <w:r>
                <w:rPr>
                  <w:rFonts w:ascii="Arial" w:cs="Arial" w:eastAsia="Arial" w:hAnsi="Arial"/>
                  <w:sz w:val="12"/>
                  <w:szCs w:val="12"/>
                  <w:color w:val="0000EE"/>
                  <w:w w:val="91"/>
                </w:rPr>
                <w:t>Ferrellgas Receivables, LLC, as buyer. Incorporated by reference to Exhibit 10.1 to our Current Report on Form 8-K filed January 20, 2012; File No. 001-11331;</w:t>
              </w:r>
            </w:hyperlink>
          </w:p>
        </w:tc>
        <w:tc>
          <w:tcPr>
            <w:tcW w:w="140" w:type="dxa"/>
            <w:vAlign w:val="bottom"/>
            <w:tcBorders>
              <w:top w:val="single" w:sz="8" w:color="0000EE"/>
            </w:tcBorders>
            <w:gridSpan w:val="7"/>
          </w:tcPr>
          <w:p>
            <w:pPr>
              <w:spacing w:after="0"/>
              <w:rPr>
                <w:sz w:val="10"/>
                <w:szCs w:val="10"/>
                <w:color w:val="auto"/>
              </w:rPr>
            </w:pPr>
          </w:p>
        </w:tc>
        <w:tc>
          <w:tcPr>
            <w:tcW w:w="8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5"/>
          </w:tcPr>
          <w:p>
            <w:pPr>
              <w:spacing w:after="0" w:line="124" w:lineRule="exact"/>
              <w:rPr>
                <w:rFonts w:ascii="Arial" w:cs="Arial" w:eastAsia="Arial" w:hAnsi="Arial"/>
                <w:sz w:val="12"/>
                <w:szCs w:val="12"/>
                <w:color w:val="0000EE"/>
              </w:rPr>
            </w:pPr>
            <w:hyperlink r:id="rId126">
              <w:r>
                <w:rPr>
                  <w:rFonts w:ascii="Arial" w:cs="Arial" w:eastAsia="Arial" w:hAnsi="Arial"/>
                  <w:sz w:val="12"/>
                  <w:szCs w:val="12"/>
                  <w:color w:val="0000EE"/>
                </w:rPr>
                <w:t>000-50182; 000-50183 and 333-06693.</w:t>
              </w:r>
            </w:hyperlink>
          </w:p>
        </w:tc>
      </w:tr>
      <w:tr>
        <w:trPr>
          <w:trHeight w:val="331"/>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top w:val="single" w:sz="8" w:color="0000EE"/>
            </w:tcBorders>
            <w:gridSpan w:val="2"/>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2"/>
                <w:szCs w:val="12"/>
                <w:color w:val="auto"/>
              </w:rPr>
              <w:t>100</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100" w:name="page101"/>
    <w:bookmarkEnd w:id="10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0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547"/>
        </w:trPr>
        <w:tc>
          <w:tcPr>
            <w:tcW w:w="860" w:type="dxa"/>
            <w:vAlign w:val="bottom"/>
            <w:tcBorders>
              <w:top w:val="single" w:sz="8" w:color="0000EE"/>
            </w:tcBorders>
          </w:tcPr>
          <w:p>
            <w:pPr>
              <w:jc w:val="right"/>
              <w:ind w:right="500"/>
              <w:spacing w:after="0"/>
              <w:rPr>
                <w:sz w:val="20"/>
                <w:szCs w:val="20"/>
                <w:color w:val="auto"/>
              </w:rPr>
            </w:pPr>
            <w:r>
              <w:rPr>
                <w:rFonts w:ascii="Arial" w:cs="Arial" w:eastAsia="Arial" w:hAnsi="Arial"/>
                <w:sz w:val="12"/>
                <w:szCs w:val="12"/>
                <w:color w:val="auto"/>
              </w:rPr>
              <w:t>10.3</w:t>
            </w:r>
          </w:p>
        </w:tc>
        <w:tc>
          <w:tcPr>
            <w:tcW w:w="140" w:type="dxa"/>
            <w:vAlign w:val="bottom"/>
          </w:tcPr>
          <w:p>
            <w:pPr>
              <w:spacing w:after="0"/>
              <w:rPr>
                <w:sz w:val="24"/>
                <w:szCs w:val="24"/>
                <w:color w:val="auto"/>
              </w:rPr>
            </w:pPr>
          </w:p>
        </w:tc>
        <w:tc>
          <w:tcPr>
            <w:tcW w:w="7860" w:type="dxa"/>
            <w:vAlign w:val="bottom"/>
            <w:tcBorders>
              <w:bottom w:val="single" w:sz="8" w:color="0000EE"/>
            </w:tcBorders>
            <w:gridSpan w:val="21"/>
          </w:tcPr>
          <w:p>
            <w:pPr>
              <w:spacing w:after="0"/>
              <w:rPr>
                <w:rFonts w:ascii="Arial" w:cs="Arial" w:eastAsia="Arial" w:hAnsi="Arial"/>
                <w:sz w:val="12"/>
                <w:szCs w:val="12"/>
                <w:color w:val="0000EE"/>
                <w:w w:val="88"/>
              </w:rPr>
            </w:pPr>
            <w:hyperlink r:id="rId127">
              <w:r>
                <w:rPr>
                  <w:rFonts w:ascii="Arial" w:cs="Arial" w:eastAsia="Arial" w:hAnsi="Arial"/>
                  <w:sz w:val="12"/>
                  <w:szCs w:val="12"/>
                  <w:color w:val="0000EE"/>
                  <w:w w:val="88"/>
                </w:rPr>
                <w:t>Receivables Purchase Agreement dated as of January 19, 2012, among Ferrellgas Receivables, LLC, as seller, Ferrellgas, L.P., as servicer, the purchasers from time</w:t>
              </w:r>
            </w:hyperlink>
          </w:p>
        </w:tc>
        <w:tc>
          <w:tcPr>
            <w:tcW w:w="100" w:type="dxa"/>
            <w:vAlign w:val="bottom"/>
            <w:gridSpan w:val="3"/>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2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27">
              <w:r>
                <w:rPr>
                  <w:rFonts w:ascii="Arial" w:cs="Arial" w:eastAsia="Arial" w:hAnsi="Arial"/>
                  <w:sz w:val="12"/>
                  <w:szCs w:val="12"/>
                  <w:color w:val="0000EE"/>
                  <w:w w:val="90"/>
                </w:rPr>
                <w:t>to time party hereto, Fifth Third Bank and SunTrust Bank, as co-agents, and Wells Fargo Bank, N.A., as administrative agent. Incorporated by reference to Exhibit</w:t>
              </w:r>
            </w:hyperlink>
          </w:p>
        </w:tc>
        <w:tc>
          <w:tcPr>
            <w:tcW w:w="14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27">
              <w:r>
                <w:rPr>
                  <w:rFonts w:ascii="Arial" w:cs="Arial" w:eastAsia="Arial" w:hAnsi="Arial"/>
                  <w:sz w:val="12"/>
                  <w:szCs w:val="12"/>
                  <w:color w:val="0000EE"/>
                </w:rPr>
                <w:t>10.</w:t>
              </w:r>
              <w:r>
                <w:rPr>
                  <w:rFonts w:ascii="Arial" w:cs="Arial" w:eastAsia="Arial" w:hAnsi="Arial"/>
                  <w:sz w:val="12"/>
                  <w:szCs w:val="12"/>
                  <w:u w:val="single" w:color="auto"/>
                  <w:color w:val="0000EE"/>
                </w:rPr>
                <w:t>2</w:t>
              </w:r>
              <w:r>
                <w:rPr>
                  <w:rFonts w:ascii="Arial" w:cs="Arial" w:eastAsia="Arial" w:hAnsi="Arial"/>
                  <w:sz w:val="12"/>
                  <w:szCs w:val="12"/>
                  <w:color w:val="0000EE"/>
                </w:rPr>
                <w:t xml:space="preserve"> to our Current Report on Form 8-K filed January 20, 2012; File No. 001-11331; 000-50182; 000-50183 and 333-06693.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rPr>
              <w:t>10.4</w:t>
            </w:r>
          </w:p>
        </w:tc>
        <w:tc>
          <w:tcPr>
            <w:tcW w:w="140" w:type="dxa"/>
            <w:vAlign w:val="bottom"/>
          </w:tcPr>
          <w:p>
            <w:pPr>
              <w:spacing w:after="0"/>
              <w:rPr>
                <w:sz w:val="10"/>
                <w:szCs w:val="10"/>
                <w:color w:val="auto"/>
              </w:rPr>
            </w:pPr>
          </w:p>
        </w:tc>
        <w:tc>
          <w:tcPr>
            <w:tcW w:w="7700" w:type="dxa"/>
            <w:vAlign w:val="bottom"/>
            <w:tcBorders>
              <w:bottom w:val="single" w:sz="8" w:color="0000EE"/>
            </w:tcBorders>
            <w:gridSpan w:val="13"/>
          </w:tcPr>
          <w:p>
            <w:pPr>
              <w:spacing w:after="0" w:line="124" w:lineRule="exact"/>
              <w:rPr>
                <w:rFonts w:ascii="Arial" w:cs="Arial" w:eastAsia="Arial" w:hAnsi="Arial"/>
                <w:sz w:val="12"/>
                <w:szCs w:val="12"/>
                <w:color w:val="0000EE"/>
                <w:w w:val="89"/>
              </w:rPr>
            </w:pPr>
            <w:hyperlink r:id="rId128">
              <w:r>
                <w:rPr>
                  <w:rFonts w:ascii="Arial" w:cs="Arial" w:eastAsia="Arial" w:hAnsi="Arial"/>
                  <w:sz w:val="12"/>
                  <w:szCs w:val="12"/>
                  <w:color w:val="0000EE"/>
                  <w:w w:val="89"/>
                </w:rPr>
                <w:t>First Amendment to Receivables Purchase Agreement dated as of April 30, 2012, among Ferrellgas Receivables, LLC, as seller, Ferrellgas, L.P., as servicer, the</w:t>
              </w:r>
            </w:hyperlink>
          </w:p>
        </w:tc>
        <w:tc>
          <w:tcPr>
            <w:tcW w:w="260" w:type="dxa"/>
            <w:vAlign w:val="bottom"/>
            <w:gridSpan w:val="11"/>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128">
              <w:r>
                <w:rPr>
                  <w:rFonts w:ascii="Arial" w:cs="Arial" w:eastAsia="Arial" w:hAnsi="Arial"/>
                  <w:sz w:val="12"/>
                  <w:szCs w:val="12"/>
                  <w:color w:val="0000EE"/>
                  <w:w w:val="90"/>
                </w:rPr>
                <w:t>purchasers from time to time party hereto, Fifth Third Bank and SunTrust Bank, as co-agents, and Wells Fargo Bank, N.A., as administrative agent. Incorporated by</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28">
              <w:r>
                <w:rPr>
                  <w:rFonts w:ascii="Arial" w:cs="Arial" w:eastAsia="Arial" w:hAnsi="Arial"/>
                  <w:sz w:val="12"/>
                  <w:szCs w:val="12"/>
                  <w:color w:val="0000EE"/>
                </w:rPr>
                <w:t>reference to Exhibit 10.5 to our Quarterly Report on Form 10-Q filed June 8, 2012; File No. 001-11331; 000-50182; 000-50183 and 333-06693.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rPr>
              <w:t>10.5</w:t>
            </w:r>
          </w:p>
        </w:tc>
        <w:tc>
          <w:tcPr>
            <w:tcW w:w="140" w:type="dxa"/>
            <w:vAlign w:val="bottom"/>
          </w:tcPr>
          <w:p>
            <w:pPr>
              <w:spacing w:after="0"/>
              <w:rPr>
                <w:sz w:val="10"/>
                <w:szCs w:val="10"/>
                <w:color w:val="auto"/>
              </w:rPr>
            </w:pPr>
          </w:p>
        </w:tc>
        <w:tc>
          <w:tcPr>
            <w:tcW w:w="7780" w:type="dxa"/>
            <w:vAlign w:val="bottom"/>
            <w:tcBorders>
              <w:bottom w:val="single" w:sz="8" w:color="0000EE"/>
            </w:tcBorders>
            <w:gridSpan w:val="17"/>
          </w:tcPr>
          <w:p>
            <w:pPr>
              <w:spacing w:after="0" w:line="124" w:lineRule="exact"/>
              <w:rPr>
                <w:rFonts w:ascii="Arial" w:cs="Arial" w:eastAsia="Arial" w:hAnsi="Arial"/>
                <w:sz w:val="12"/>
                <w:szCs w:val="12"/>
                <w:color w:val="0000EE"/>
                <w:w w:val="89"/>
              </w:rPr>
            </w:pPr>
            <w:hyperlink r:id="rId129">
              <w:r>
                <w:rPr>
                  <w:rFonts w:ascii="Arial" w:cs="Arial" w:eastAsia="Arial" w:hAnsi="Arial"/>
                  <w:sz w:val="12"/>
                  <w:szCs w:val="12"/>
                  <w:color w:val="0000EE"/>
                  <w:w w:val="89"/>
                </w:rPr>
                <w:t>Second Amendment to Receivables Purchase Agreement dated as of April 1, 2014, among Ferrellgas Receivables, LLC, as seller, Ferrellgas, L.P., as servicer, the</w:t>
              </w:r>
            </w:hyperlink>
          </w:p>
        </w:tc>
        <w:tc>
          <w:tcPr>
            <w:tcW w:w="18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129">
              <w:r>
                <w:rPr>
                  <w:rFonts w:ascii="Arial" w:cs="Arial" w:eastAsia="Arial" w:hAnsi="Arial"/>
                  <w:sz w:val="12"/>
                  <w:szCs w:val="12"/>
                  <w:color w:val="0000EE"/>
                  <w:w w:val="90"/>
                </w:rPr>
                <w:t>purchasers from time to time party hereto, Fifth Third Bank and SunTrust Bank, as co-agents, and Wells Fargo Bank, N.A., as administrative agent. Incorporated by</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29">
              <w:r>
                <w:rPr>
                  <w:rFonts w:ascii="Arial" w:cs="Arial" w:eastAsia="Arial" w:hAnsi="Arial"/>
                  <w:sz w:val="12"/>
                  <w:szCs w:val="12"/>
                  <w:color w:val="0000EE"/>
                </w:rPr>
                <w:t>reference to Exhibit 10.1 to our Current Report on Form 8-K filed April 4, 2014.</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rPr>
              <w:t>10.6</w:t>
            </w:r>
          </w:p>
        </w:tc>
        <w:tc>
          <w:tcPr>
            <w:tcW w:w="140" w:type="dxa"/>
            <w:vAlign w:val="bottom"/>
          </w:tcPr>
          <w:p>
            <w:pPr>
              <w:spacing w:after="0"/>
              <w:rPr>
                <w:sz w:val="10"/>
                <w:szCs w:val="10"/>
                <w:color w:val="auto"/>
              </w:rPr>
            </w:pPr>
          </w:p>
        </w:tc>
        <w:tc>
          <w:tcPr>
            <w:tcW w:w="7680" w:type="dxa"/>
            <w:vAlign w:val="bottom"/>
            <w:tcBorders>
              <w:bottom w:val="single" w:sz="8" w:color="0000EE"/>
            </w:tcBorders>
            <w:gridSpan w:val="12"/>
          </w:tcPr>
          <w:p>
            <w:pPr>
              <w:spacing w:after="0" w:line="124" w:lineRule="exact"/>
              <w:rPr>
                <w:rFonts w:ascii="Arial" w:cs="Arial" w:eastAsia="Arial" w:hAnsi="Arial"/>
                <w:sz w:val="12"/>
                <w:szCs w:val="12"/>
                <w:color w:val="0000EE"/>
                <w:w w:val="89"/>
              </w:rPr>
            </w:pPr>
            <w:hyperlink r:id="rId130">
              <w:r>
                <w:rPr>
                  <w:rFonts w:ascii="Arial" w:cs="Arial" w:eastAsia="Arial" w:hAnsi="Arial"/>
                  <w:sz w:val="12"/>
                  <w:szCs w:val="12"/>
                  <w:color w:val="0000EE"/>
                  <w:w w:val="89"/>
                </w:rPr>
                <w:t>Third Amendment to Receivables Purchase Agreement dated as of July 27, 2016, among Ferrellgas Receivables, LLC, as seller, Ferrellgas, L.P., as servicer, the</w:t>
              </w:r>
            </w:hyperlink>
          </w:p>
        </w:tc>
        <w:tc>
          <w:tcPr>
            <w:tcW w:w="280" w:type="dxa"/>
            <w:vAlign w:val="bottom"/>
            <w:gridSpan w:val="1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130">
              <w:r>
                <w:rPr>
                  <w:rFonts w:ascii="Arial" w:cs="Arial" w:eastAsia="Arial" w:hAnsi="Arial"/>
                  <w:sz w:val="12"/>
                  <w:szCs w:val="12"/>
                  <w:color w:val="0000EE"/>
                  <w:w w:val="90"/>
                </w:rPr>
                <w:t>purchasers from time to time party hereto, Fifth Third Bank and SunTrust Bank, as co-agents, and Wells Fargo Bank, N.A., as administrative agent. Incorporated by</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8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r:id="rId130">
              <w:r>
                <w:rPr>
                  <w:rFonts w:ascii="Arial" w:cs="Arial" w:eastAsia="Arial" w:hAnsi="Arial"/>
                  <w:sz w:val="12"/>
                  <w:szCs w:val="12"/>
                  <w:color w:val="0000EE"/>
                  <w:w w:val="91"/>
                </w:rPr>
                <w:t>reference to Exhibit 10.1 to our Current Report on Form 8-K filed July 27, 2016.</w:t>
              </w:r>
            </w:hyperlink>
          </w:p>
        </w:tc>
        <w:tc>
          <w:tcPr>
            <w:tcW w:w="4080" w:type="dxa"/>
            <w:vAlign w:val="bottom"/>
            <w:gridSpan w:val="20"/>
          </w:tcPr>
          <w:p>
            <w:pPr>
              <w:spacing w:after="0"/>
              <w:rPr>
                <w:sz w:val="10"/>
                <w:szCs w:val="10"/>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rPr>
              <w:t>10.7</w:t>
            </w: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89"/>
              </w:rPr>
            </w:pPr>
            <w:hyperlink r:id="rId131">
              <w:r>
                <w:rPr>
                  <w:rFonts w:ascii="Arial" w:cs="Arial" w:eastAsia="Arial" w:hAnsi="Arial"/>
                  <w:sz w:val="12"/>
                  <w:szCs w:val="12"/>
                  <w:color w:val="0000EE"/>
                  <w:w w:val="89"/>
                </w:rPr>
                <w:t>Fourth Amendment to Receivables Purchase Agreement dated as of September 27, 2016, among Ferrellgas Receivables, LLC, as seller, Ferrellgas, L.P., as servicer,</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0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r:id="rId131">
              <w:r>
                <w:rPr>
                  <w:rFonts w:ascii="Arial" w:cs="Arial" w:eastAsia="Arial" w:hAnsi="Arial"/>
                  <w:sz w:val="12"/>
                  <w:szCs w:val="12"/>
                  <w:color w:val="0000EE"/>
                  <w:w w:val="90"/>
                </w:rPr>
                <w:t>the purchasers from time to time party hereto, Fifth Third Bank and SunTrust Bank, as co-agents, and Wells Fargo Bank, N.A., as administrative agent. Incorporated</w:t>
              </w:r>
            </w:hyperlink>
          </w:p>
        </w:tc>
        <w:tc>
          <w:tcPr>
            <w:tcW w:w="6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6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31">
              <w:r>
                <w:rPr>
                  <w:rFonts w:ascii="Arial" w:cs="Arial" w:eastAsia="Arial" w:hAnsi="Arial"/>
                  <w:sz w:val="12"/>
                  <w:szCs w:val="12"/>
                  <w:color w:val="0000EE"/>
                  <w:w w:val="91"/>
                </w:rPr>
                <w:t>by reference to Exhibit 10.38 to our Current Report on Form 10-K filed September 28, 2016.</w:t>
              </w:r>
            </w:hyperlink>
          </w:p>
        </w:tc>
        <w:tc>
          <w:tcPr>
            <w:tcW w:w="3500" w:type="dxa"/>
            <w:vAlign w:val="bottom"/>
            <w:gridSpan w:val="17"/>
          </w:tcPr>
          <w:p>
            <w:pPr>
              <w:spacing w:after="0"/>
              <w:rPr>
                <w:sz w:val="10"/>
                <w:szCs w:val="10"/>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rPr>
              <w:t>10.8</w:t>
            </w:r>
          </w:p>
        </w:tc>
        <w:tc>
          <w:tcPr>
            <w:tcW w:w="140" w:type="dxa"/>
            <w:vAlign w:val="bottom"/>
          </w:tcPr>
          <w:p>
            <w:pPr>
              <w:spacing w:after="0"/>
              <w:rPr>
                <w:sz w:val="10"/>
                <w:szCs w:val="10"/>
                <w:color w:val="auto"/>
              </w:rPr>
            </w:pPr>
          </w:p>
        </w:tc>
        <w:tc>
          <w:tcPr>
            <w:tcW w:w="774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r:id="rId132">
              <w:r>
                <w:rPr>
                  <w:rFonts w:ascii="Arial" w:cs="Arial" w:eastAsia="Arial" w:hAnsi="Arial"/>
                  <w:sz w:val="12"/>
                  <w:szCs w:val="12"/>
                  <w:color w:val="0000EE"/>
                  <w:w w:val="89"/>
                </w:rPr>
                <w:t>Amendment No. 5 to Receivables Purchase Agreement dated as of April 28, 2017, among Ferrellgas Receivables, LLC, as seller, Ferrellgas, L.P., as servicer, the</w:t>
              </w:r>
            </w:hyperlink>
          </w:p>
        </w:tc>
        <w:tc>
          <w:tcPr>
            <w:tcW w:w="220" w:type="dxa"/>
            <w:vAlign w:val="bottom"/>
            <w:gridSpan w:val="9"/>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132">
              <w:r>
                <w:rPr>
                  <w:rFonts w:ascii="Arial" w:cs="Arial" w:eastAsia="Arial" w:hAnsi="Arial"/>
                  <w:sz w:val="12"/>
                  <w:szCs w:val="12"/>
                  <w:color w:val="0000EE"/>
                  <w:w w:val="90"/>
                </w:rPr>
                <w:t>purchasers from time to time party hereto, Fifth Third Bank and SunTrust Bank, as co-agents, and Wells Fargo Bank, N.A., as administrative agent. Incorporated by</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32">
              <w:r>
                <w:rPr>
                  <w:rFonts w:ascii="Arial" w:cs="Arial" w:eastAsia="Arial" w:hAnsi="Arial"/>
                  <w:sz w:val="12"/>
                  <w:szCs w:val="12"/>
                  <w:color w:val="0000EE"/>
                  <w:w w:val="91"/>
                </w:rPr>
                <w:t>reference to Exhibit 10.2 to our Current Report on Form 8-K filed May 2, 2017.</w:t>
              </w:r>
            </w:hyperlink>
          </w:p>
        </w:tc>
        <w:tc>
          <w:tcPr>
            <w:tcW w:w="4120" w:type="dxa"/>
            <w:vAlign w:val="bottom"/>
            <w:gridSpan w:val="21"/>
          </w:tcPr>
          <w:p>
            <w:pPr>
              <w:spacing w:after="0"/>
              <w:rPr>
                <w:sz w:val="10"/>
                <w:szCs w:val="10"/>
                <w:color w:val="auto"/>
              </w:rPr>
            </w:pPr>
          </w:p>
        </w:tc>
      </w:tr>
      <w:tr>
        <w:trPr>
          <w:trHeight w:val="124"/>
        </w:trPr>
        <w:tc>
          <w:tcPr>
            <w:tcW w:w="860" w:type="dxa"/>
            <w:vAlign w:val="bottom"/>
          </w:tcPr>
          <w:p>
            <w:pPr>
              <w:jc w:val="right"/>
              <w:ind w:right="500"/>
              <w:spacing w:after="0" w:line="124" w:lineRule="exact"/>
              <w:rPr>
                <w:sz w:val="20"/>
                <w:szCs w:val="20"/>
                <w:color w:val="auto"/>
              </w:rPr>
            </w:pPr>
            <w:r>
              <w:rPr>
                <w:rFonts w:ascii="Arial" w:cs="Arial" w:eastAsia="Arial" w:hAnsi="Arial"/>
                <w:sz w:val="12"/>
                <w:szCs w:val="12"/>
                <w:color w:val="auto"/>
                <w:w w:val="82"/>
              </w:rPr>
              <w:t>+ 10.9</w:t>
            </w: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w w:val="92"/>
              </w:rPr>
            </w:pPr>
            <w:hyperlink r:id="rId133">
              <w:r>
                <w:rPr>
                  <w:rFonts w:ascii="Arial" w:cs="Arial" w:eastAsia="Arial" w:hAnsi="Arial"/>
                  <w:sz w:val="12"/>
                  <w:szCs w:val="12"/>
                  <w:color w:val="0000EE"/>
                  <w:w w:val="92"/>
                </w:rPr>
                <w:t>Amendment No. 7 to Receivables Purchase Agreement, dated as of May 14, 2018, among Ferrellgas Receivables, LLC, as seller, Ferrellgas, L.P., as servicer, the</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133">
              <w:r>
                <w:rPr>
                  <w:rFonts w:ascii="Arial" w:cs="Arial" w:eastAsia="Arial" w:hAnsi="Arial"/>
                  <w:sz w:val="12"/>
                  <w:szCs w:val="12"/>
                  <w:color w:val="0000EE"/>
                  <w:w w:val="90"/>
                </w:rPr>
                <w:t>purchasers party thereto, Fifth Third Bank and PNC Bank, National Association, as co-agents, and Wells Fargo Bank, N.A. as administrative agent. Incorporated by</w:t>
              </w:r>
            </w:hyperlink>
          </w:p>
        </w:tc>
        <w:tc>
          <w:tcPr>
            <w:tcW w:w="8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33">
              <w:r>
                <w:rPr>
                  <w:rFonts w:ascii="Arial" w:cs="Arial" w:eastAsia="Arial" w:hAnsi="Arial"/>
                  <w:sz w:val="12"/>
                  <w:szCs w:val="12"/>
                  <w:color w:val="0000EE"/>
                </w:rPr>
                <w:t>reference to Exhibit 10.2 to our Current Report on Form 8-K filed September 7, 2018.</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860" w:type="dxa"/>
            <w:vAlign w:val="bottom"/>
          </w:tcPr>
          <w:p>
            <w:pPr>
              <w:jc w:val="right"/>
              <w:ind w:right="460"/>
              <w:spacing w:after="0" w:line="124" w:lineRule="exact"/>
              <w:rPr>
                <w:sz w:val="20"/>
                <w:szCs w:val="20"/>
                <w:color w:val="auto"/>
              </w:rPr>
            </w:pPr>
            <w:r>
              <w:rPr>
                <w:rFonts w:ascii="Arial" w:cs="Arial" w:eastAsia="Arial" w:hAnsi="Arial"/>
                <w:sz w:val="12"/>
                <w:szCs w:val="12"/>
                <w:color w:val="auto"/>
              </w:rPr>
              <w:t>10.10</w:t>
            </w:r>
          </w:p>
        </w:tc>
        <w:tc>
          <w:tcPr>
            <w:tcW w:w="140" w:type="dxa"/>
            <w:vAlign w:val="bottom"/>
          </w:tcPr>
          <w:p>
            <w:pPr>
              <w:spacing w:after="0"/>
              <w:rPr>
                <w:sz w:val="10"/>
                <w:szCs w:val="10"/>
                <w:color w:val="auto"/>
              </w:rPr>
            </w:pPr>
          </w:p>
        </w:tc>
        <w:tc>
          <w:tcPr>
            <w:tcW w:w="7780" w:type="dxa"/>
            <w:vAlign w:val="bottom"/>
            <w:tcBorders>
              <w:bottom w:val="single" w:sz="8" w:color="0000EE"/>
            </w:tcBorders>
            <w:gridSpan w:val="17"/>
          </w:tcPr>
          <w:p>
            <w:pPr>
              <w:spacing w:after="0" w:line="124" w:lineRule="exact"/>
              <w:rPr>
                <w:rFonts w:ascii="Arial" w:cs="Arial" w:eastAsia="Arial" w:hAnsi="Arial"/>
                <w:sz w:val="12"/>
                <w:szCs w:val="12"/>
                <w:color w:val="0000EE"/>
                <w:w w:val="89"/>
              </w:rPr>
            </w:pPr>
            <w:hyperlink r:id="rId134">
              <w:r>
                <w:rPr>
                  <w:rFonts w:ascii="Arial" w:cs="Arial" w:eastAsia="Arial" w:hAnsi="Arial"/>
                  <w:sz w:val="12"/>
                  <w:szCs w:val="12"/>
                  <w:color w:val="0000EE"/>
                  <w:w w:val="89"/>
                </w:rPr>
                <w:t>Amendment No. 8 to Receivables Purchase Agreement, dated as of December 5, 2019, among Ferrellgas Receivables, LLC, as seller, Ferrellgas, L.P., as servicer,</w:t>
              </w:r>
            </w:hyperlink>
          </w:p>
        </w:tc>
        <w:tc>
          <w:tcPr>
            <w:tcW w:w="18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w w:val="91"/>
              </w:rPr>
            </w:pPr>
            <w:hyperlink r:id="rId134">
              <w:r>
                <w:rPr>
                  <w:rFonts w:ascii="Arial" w:cs="Arial" w:eastAsia="Arial" w:hAnsi="Arial"/>
                  <w:sz w:val="12"/>
                  <w:szCs w:val="12"/>
                  <w:color w:val="0000EE"/>
                  <w:w w:val="91"/>
                </w:rPr>
                <w:t>Fifth Third Bank and PNC Bank, National Association, as co-agents and purchasers, and Wells Fargo Bank, N.A. as administrative agent. Incorporated by reference</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8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r:id="rId134">
              <w:r>
                <w:rPr>
                  <w:rFonts w:ascii="Arial" w:cs="Arial" w:eastAsia="Arial" w:hAnsi="Arial"/>
                  <w:sz w:val="12"/>
                  <w:szCs w:val="12"/>
                  <w:color w:val="0000EE"/>
                </w:rPr>
                <w:t>to Exhibit 10.17 to our Quarterly Report on Form 10-Q filed December 6, 2019.</w:t>
              </w:r>
            </w:hyperlink>
          </w:p>
        </w:tc>
        <w:tc>
          <w:tcPr>
            <w:tcW w:w="80" w:type="dxa"/>
            <w:vAlign w:val="bottom"/>
            <w:gridSpan w:val="2"/>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24"/>
        </w:trPr>
        <w:tc>
          <w:tcPr>
            <w:tcW w:w="860" w:type="dxa"/>
            <w:vAlign w:val="bottom"/>
          </w:tcPr>
          <w:p>
            <w:pPr>
              <w:jc w:val="right"/>
              <w:ind w:right="420"/>
              <w:spacing w:after="0" w:line="124" w:lineRule="exact"/>
              <w:rPr>
                <w:sz w:val="20"/>
                <w:szCs w:val="20"/>
                <w:color w:val="auto"/>
              </w:rPr>
            </w:pPr>
            <w:r>
              <w:rPr>
                <w:rFonts w:ascii="Arial" w:cs="Arial" w:eastAsia="Arial" w:hAnsi="Arial"/>
                <w:sz w:val="12"/>
                <w:szCs w:val="12"/>
                <w:color w:val="auto"/>
              </w:rPr>
              <w:t>10.11</w:t>
            </w: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w w:val="91"/>
              </w:rPr>
            </w:pPr>
            <w:hyperlink r:id="rId135">
              <w:r>
                <w:rPr>
                  <w:rFonts w:ascii="Arial" w:cs="Arial" w:eastAsia="Arial" w:hAnsi="Arial"/>
                  <w:sz w:val="12"/>
                  <w:szCs w:val="12"/>
                  <w:color w:val="0000EE"/>
                  <w:w w:val="91"/>
                </w:rPr>
                <w:t>Amendment No. 9 to Receivables Purchase Agreement, dated as of April 10, 2020, among Ferrellgas Receivables, LLC, as seller, Ferrellgas, L.P., as servicer, Fifth</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40" w:type="dxa"/>
            <w:vAlign w:val="bottom"/>
            <w:tcBorders>
              <w:top w:val="single" w:sz="8" w:color="0000EE"/>
            </w:tcBorders>
            <w:gridSpan w:val="20"/>
          </w:tcPr>
          <w:p>
            <w:pPr>
              <w:spacing w:after="0" w:line="124" w:lineRule="exact"/>
              <w:rPr>
                <w:rFonts w:ascii="Arial" w:cs="Arial" w:eastAsia="Arial" w:hAnsi="Arial"/>
                <w:sz w:val="12"/>
                <w:szCs w:val="12"/>
                <w:color w:val="0000EE"/>
                <w:w w:val="91"/>
              </w:rPr>
            </w:pPr>
            <w:hyperlink r:id="rId135">
              <w:r>
                <w:rPr>
                  <w:rFonts w:ascii="Arial" w:cs="Arial" w:eastAsia="Arial" w:hAnsi="Arial"/>
                  <w:sz w:val="12"/>
                  <w:szCs w:val="12"/>
                  <w:color w:val="0000EE"/>
                  <w:w w:val="91"/>
                </w:rPr>
                <w:t>Third Bank and PNC Bank, National Association, as co-agents and purchasers, and Wells Fargo Bank, N.A. as administrative agent. Incorporated by reference to</w:t>
              </w:r>
            </w:hyperlink>
          </w:p>
        </w:tc>
        <w:tc>
          <w:tcPr>
            <w:tcW w:w="12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74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135">
              <w:r>
                <w:rPr>
                  <w:rFonts w:ascii="Arial" w:cs="Arial" w:eastAsia="Arial" w:hAnsi="Arial"/>
                  <w:sz w:val="12"/>
                  <w:szCs w:val="12"/>
                  <w:color w:val="0000EE"/>
                </w:rPr>
                <w:t>Exhibit 10.1 to our Quarterly Report on Form 8-K filed April 13, 2020.</w:t>
              </w:r>
            </w:hyperlink>
          </w:p>
        </w:tc>
        <w:tc>
          <w:tcPr>
            <w:tcW w:w="220" w:type="dxa"/>
            <w:vAlign w:val="bottom"/>
            <w:gridSpan w:val="9"/>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10.12</w:t>
            </w:r>
          </w:p>
        </w:tc>
        <w:tc>
          <w:tcPr>
            <w:tcW w:w="140" w:type="dxa"/>
            <w:vAlign w:val="bottom"/>
          </w:tcPr>
          <w:p>
            <w:pPr>
              <w:spacing w:after="0"/>
              <w:rPr>
                <w:sz w:val="10"/>
                <w:szCs w:val="10"/>
                <w:color w:val="auto"/>
              </w:rPr>
            </w:pPr>
          </w:p>
        </w:tc>
        <w:tc>
          <w:tcPr>
            <w:tcW w:w="7860" w:type="dxa"/>
            <w:vAlign w:val="bottom"/>
            <w:tcBorders>
              <w:bottom w:val="single" w:sz="8" w:color="0000EE"/>
            </w:tcBorders>
            <w:gridSpan w:val="21"/>
          </w:tcPr>
          <w:p>
            <w:pPr>
              <w:spacing w:after="0" w:line="124" w:lineRule="exact"/>
              <w:rPr>
                <w:rFonts w:ascii="Arial" w:cs="Arial" w:eastAsia="Arial" w:hAnsi="Arial"/>
                <w:sz w:val="12"/>
                <w:szCs w:val="12"/>
                <w:color w:val="0000EE"/>
                <w:w w:val="89"/>
              </w:rPr>
            </w:pPr>
            <w:hyperlink r:id="rId136">
              <w:r>
                <w:rPr>
                  <w:rFonts w:ascii="Arial" w:cs="Arial" w:eastAsia="Arial" w:hAnsi="Arial"/>
                  <w:sz w:val="12"/>
                  <w:szCs w:val="12"/>
                  <w:color w:val="0000EE"/>
                  <w:w w:val="89"/>
                </w:rPr>
                <w:t>Ferrell Companies, Inc. Supplemental Savings Plan, as amended and restated effective January 1, 2010. Incorporated by reference to Exhibit 10.14 to our Quarterly</w:t>
              </w:r>
            </w:hyperlink>
          </w:p>
        </w:tc>
        <w:tc>
          <w:tcPr>
            <w:tcW w:w="10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136">
              <w:r>
                <w:rPr>
                  <w:rFonts w:ascii="Arial" w:cs="Arial" w:eastAsia="Arial" w:hAnsi="Arial"/>
                  <w:sz w:val="12"/>
                  <w:szCs w:val="12"/>
                  <w:color w:val="0000EE"/>
                  <w:w w:val="91"/>
                </w:rPr>
                <w:t>Report on Form 10-Q filed March 10, 2010; File No. 001-11331; 000-50182; 000-50183 and 333-06693.</w:t>
              </w:r>
            </w:hyperlink>
          </w:p>
        </w:tc>
        <w:tc>
          <w:tcPr>
            <w:tcW w:w="2920" w:type="dxa"/>
            <w:vAlign w:val="bottom"/>
            <w:gridSpan w:val="15"/>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10.13</w:t>
            </w: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w w:val="92"/>
              </w:rPr>
            </w:pPr>
            <w:hyperlink r:id="rId137">
              <w:r>
                <w:rPr>
                  <w:rFonts w:ascii="Arial" w:cs="Arial" w:eastAsia="Arial" w:hAnsi="Arial"/>
                  <w:sz w:val="12"/>
                  <w:szCs w:val="12"/>
                  <w:color w:val="0000EE"/>
                  <w:w w:val="92"/>
                </w:rPr>
                <w:t>Ferrell Companies, Inc. 1998 Incentive Compensation Plan, as amended and restated effective October 11, 2004. Incorporated by reference to Exhibit 10.9 to our</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91"/>
              </w:rPr>
            </w:pPr>
            <w:hyperlink r:id="rId137">
              <w:r>
                <w:rPr>
                  <w:rFonts w:ascii="Arial" w:cs="Arial" w:eastAsia="Arial" w:hAnsi="Arial"/>
                  <w:sz w:val="12"/>
                  <w:szCs w:val="12"/>
                  <w:color w:val="0000EE"/>
                  <w:w w:val="91"/>
                </w:rPr>
                <w:t>Annual Report on Form 10-K filed September 29, 2014.</w:t>
              </w:r>
            </w:hyperlink>
          </w:p>
        </w:tc>
        <w:tc>
          <w:tcPr>
            <w:tcW w:w="5040" w:type="dxa"/>
            <w:vAlign w:val="bottom"/>
            <w:tcBorders>
              <w:top w:val="single" w:sz="8" w:color="0000EE"/>
            </w:tcBorders>
            <w:gridSpan w:val="14"/>
          </w:tcPr>
          <w:p>
            <w:pPr>
              <w:spacing w:after="0"/>
              <w:rPr>
                <w:sz w:val="10"/>
                <w:szCs w:val="10"/>
                <w:color w:val="auto"/>
              </w:rPr>
            </w:pPr>
          </w:p>
        </w:tc>
        <w:tc>
          <w:tcPr>
            <w:tcW w:w="220" w:type="dxa"/>
            <w:vAlign w:val="bottom"/>
            <w:gridSpan w:val="9"/>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10.14</w:t>
            </w:r>
          </w:p>
        </w:tc>
        <w:tc>
          <w:tcPr>
            <w:tcW w:w="140" w:type="dxa"/>
            <w:vAlign w:val="bottom"/>
          </w:tcPr>
          <w:p>
            <w:pPr>
              <w:spacing w:after="0"/>
              <w:rPr>
                <w:sz w:val="10"/>
                <w:szCs w:val="10"/>
                <w:color w:val="auto"/>
              </w:rPr>
            </w:pPr>
          </w:p>
        </w:tc>
        <w:tc>
          <w:tcPr>
            <w:tcW w:w="776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38">
              <w:r>
                <w:rPr>
                  <w:rFonts w:ascii="Arial" w:cs="Arial" w:eastAsia="Arial" w:hAnsi="Arial"/>
                  <w:sz w:val="12"/>
                  <w:szCs w:val="12"/>
                  <w:color w:val="0000EE"/>
                  <w:w w:val="90"/>
                </w:rPr>
                <w:t>Amendment to Ferrell Companies, Inc. 1998 Incentive Compensation Plan, dated as of March 7, 2010. Incorporated by reference to Exhibit 10.7 to our Quarterly</w:t>
              </w:r>
            </w:hyperlink>
          </w:p>
        </w:tc>
        <w:tc>
          <w:tcPr>
            <w:tcW w:w="20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38">
              <w:r>
                <w:rPr>
                  <w:rFonts w:ascii="Arial" w:cs="Arial" w:eastAsia="Arial" w:hAnsi="Arial"/>
                  <w:sz w:val="12"/>
                  <w:szCs w:val="12"/>
                  <w:color w:val="0000EE"/>
                </w:rPr>
                <w:t>Report on Form 10-Q filed June 9, 2010; File No. 001-11331; 000-50182; 000-50183 and 333-06693.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10.15</w:t>
            </w:r>
          </w:p>
        </w:tc>
        <w:tc>
          <w:tcPr>
            <w:tcW w:w="140" w:type="dxa"/>
            <w:vAlign w:val="bottom"/>
          </w:tcPr>
          <w:p>
            <w:pPr>
              <w:spacing w:after="0"/>
              <w:rPr>
                <w:sz w:val="10"/>
                <w:szCs w:val="10"/>
                <w:color w:val="auto"/>
              </w:rPr>
            </w:pPr>
          </w:p>
        </w:tc>
        <w:tc>
          <w:tcPr>
            <w:tcW w:w="780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39">
              <w:r>
                <w:rPr>
                  <w:rFonts w:ascii="Arial" w:cs="Arial" w:eastAsia="Arial" w:hAnsi="Arial"/>
                  <w:sz w:val="12"/>
                  <w:szCs w:val="12"/>
                  <w:color w:val="0000EE"/>
                  <w:w w:val="90"/>
                </w:rPr>
                <w:t>Employment, Confidentiality, and Noncompete Agreement dated as of July 17, 1998 by and among Ferrell Companies, Inc. as the company, Ferrellgas, Inc. as the</w:t>
              </w:r>
            </w:hyperlink>
          </w:p>
        </w:tc>
        <w:tc>
          <w:tcPr>
            <w:tcW w:w="160" w:type="dxa"/>
            <w:vAlign w:val="bottom"/>
            <w:gridSpan w:val="6"/>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2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39">
              <w:r>
                <w:rPr>
                  <w:rFonts w:ascii="Arial" w:cs="Arial" w:eastAsia="Arial" w:hAnsi="Arial"/>
                  <w:sz w:val="12"/>
                  <w:szCs w:val="12"/>
                  <w:color w:val="0000EE"/>
                  <w:w w:val="90"/>
                </w:rPr>
                <w:t>company, James E. Ferrell as the executive and LaSalle National Bank as trustee of the Ferrell Companies, Inc. Employee Stock Ownership Trust. Incorporated by</w:t>
              </w:r>
            </w:hyperlink>
          </w:p>
        </w:tc>
        <w:tc>
          <w:tcPr>
            <w:tcW w:w="14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4"/>
          </w:tcPr>
          <w:p>
            <w:pPr>
              <w:spacing w:after="0" w:line="124" w:lineRule="exact"/>
              <w:rPr>
                <w:rFonts w:ascii="Arial" w:cs="Arial" w:eastAsia="Arial" w:hAnsi="Arial"/>
                <w:sz w:val="12"/>
                <w:szCs w:val="12"/>
                <w:color w:val="0000EE"/>
              </w:rPr>
            </w:pPr>
            <w:hyperlink r:id="rId139">
              <w:r>
                <w:rPr>
                  <w:rFonts w:ascii="Arial" w:cs="Arial" w:eastAsia="Arial" w:hAnsi="Arial"/>
                  <w:sz w:val="12"/>
                  <w:szCs w:val="12"/>
                  <w:color w:val="0000EE"/>
                </w:rPr>
                <w:t>reference to Exhibit 10.11 to our Annual Report on Form 10-K filed September 29, 2014.</w:t>
              </w:r>
            </w:hyperlink>
          </w:p>
        </w:tc>
      </w:tr>
      <w:tr>
        <w:trPr>
          <w:trHeight w:val="331"/>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Borders>
              <w:top w:val="single" w:sz="8" w:color="0000EE"/>
            </w:tcBorders>
            <w:gridSpan w:val="3"/>
          </w:tcPr>
          <w:p>
            <w:pPr>
              <w:ind w:left="3400"/>
              <w:spacing w:after="0"/>
              <w:rPr>
                <w:sz w:val="20"/>
                <w:szCs w:val="20"/>
                <w:color w:val="auto"/>
              </w:rPr>
            </w:pPr>
            <w:r>
              <w:rPr>
                <w:rFonts w:ascii="Arial" w:cs="Arial" w:eastAsia="Arial" w:hAnsi="Arial"/>
                <w:sz w:val="12"/>
                <w:szCs w:val="12"/>
                <w:color w:val="auto"/>
              </w:rPr>
              <w:t>101</w:t>
            </w: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101" w:name="page102"/>
    <w:bookmarkEnd w:id="10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0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7"/>
        </w:trPr>
        <w:tc>
          <w:tcPr>
            <w:tcW w:w="860" w:type="dxa"/>
            <w:vAlign w:val="bottom"/>
            <w:tcBorders>
              <w:top w:val="single" w:sz="8" w:color="0000EE"/>
            </w:tcBorders>
          </w:tcPr>
          <w:p>
            <w:pPr>
              <w:spacing w:after="0"/>
              <w:rPr>
                <w:sz w:val="20"/>
                <w:szCs w:val="20"/>
                <w:color w:val="auto"/>
              </w:rPr>
            </w:pPr>
            <w:r>
              <w:rPr>
                <w:rFonts w:ascii="Arial" w:cs="Arial" w:eastAsia="Arial" w:hAnsi="Arial"/>
                <w:sz w:val="12"/>
                <w:szCs w:val="12"/>
                <w:color w:val="auto"/>
              </w:rPr>
              <w:t># 10.16</w:t>
            </w:r>
          </w:p>
        </w:tc>
        <w:tc>
          <w:tcPr>
            <w:tcW w:w="140" w:type="dxa"/>
            <w:vAlign w:val="bottom"/>
          </w:tcPr>
          <w:p>
            <w:pPr>
              <w:spacing w:after="0"/>
              <w:rPr>
                <w:sz w:val="24"/>
                <w:szCs w:val="24"/>
                <w:color w:val="auto"/>
              </w:rPr>
            </w:pPr>
          </w:p>
        </w:tc>
        <w:tc>
          <w:tcPr>
            <w:tcW w:w="7820" w:type="dxa"/>
            <w:vAlign w:val="bottom"/>
            <w:tcBorders>
              <w:bottom w:val="single" w:sz="8" w:color="0000EE"/>
            </w:tcBorders>
            <w:gridSpan w:val="24"/>
          </w:tcPr>
          <w:p>
            <w:pPr>
              <w:spacing w:after="0"/>
              <w:rPr>
                <w:rFonts w:ascii="Arial" w:cs="Arial" w:eastAsia="Arial" w:hAnsi="Arial"/>
                <w:sz w:val="12"/>
                <w:szCs w:val="12"/>
                <w:color w:val="0000EE"/>
                <w:w w:val="91"/>
              </w:rPr>
            </w:pPr>
            <w:hyperlink r:id="rId140">
              <w:r>
                <w:rPr>
                  <w:rFonts w:ascii="Arial" w:cs="Arial" w:eastAsia="Arial" w:hAnsi="Arial"/>
                  <w:sz w:val="12"/>
                  <w:szCs w:val="12"/>
                  <w:color w:val="0000EE"/>
                  <w:w w:val="91"/>
                </w:rPr>
                <w:t>Form of Director/Officer Indemnification Agreement, by and between Ferrellgas, Inc. and each director and executive officer. Incorporated by reference to Exhibit</w:t>
              </w:r>
            </w:hyperlink>
          </w:p>
        </w:tc>
        <w:tc>
          <w:tcPr>
            <w:tcW w:w="140" w:type="dxa"/>
            <w:vAlign w:val="bottom"/>
            <w:gridSpan w:val="5"/>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8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140">
              <w:r>
                <w:rPr>
                  <w:rFonts w:ascii="Arial" w:cs="Arial" w:eastAsia="Arial" w:hAnsi="Arial"/>
                  <w:sz w:val="12"/>
                  <w:szCs w:val="12"/>
                  <w:color w:val="0000EE"/>
                  <w:w w:val="91"/>
                </w:rPr>
                <w:t>10.</w:t>
              </w:r>
              <w:r>
                <w:rPr>
                  <w:rFonts w:ascii="Arial" w:cs="Arial" w:eastAsia="Arial" w:hAnsi="Arial"/>
                  <w:sz w:val="12"/>
                  <w:szCs w:val="12"/>
                  <w:u w:val="single" w:color="auto"/>
                  <w:color w:val="0000EE"/>
                  <w:w w:val="91"/>
                </w:rPr>
                <w:t>16</w:t>
              </w:r>
              <w:r>
                <w:rPr>
                  <w:rFonts w:ascii="Arial" w:cs="Arial" w:eastAsia="Arial" w:hAnsi="Arial"/>
                  <w:sz w:val="12"/>
                  <w:szCs w:val="12"/>
                  <w:color w:val="0000EE"/>
                  <w:w w:val="91"/>
                </w:rPr>
                <w:t xml:space="preserve"> to our Quarterly Report on Form 10-Q filed March 9, 2012; File No. 001-11331; 000-50182; 000-50183 and 333-06693.</w:t>
              </w:r>
            </w:hyperlink>
          </w:p>
        </w:tc>
        <w:tc>
          <w:tcPr>
            <w:tcW w:w="1880" w:type="dxa"/>
            <w:vAlign w:val="bottom"/>
            <w:gridSpan w:val="10"/>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10.17</w:t>
            </w:r>
          </w:p>
        </w:tc>
        <w:tc>
          <w:tcPr>
            <w:tcW w:w="140" w:type="dxa"/>
            <w:vAlign w:val="bottom"/>
          </w:tcPr>
          <w:p>
            <w:pPr>
              <w:spacing w:after="0"/>
              <w:rPr>
                <w:sz w:val="10"/>
                <w:szCs w:val="10"/>
                <w:color w:val="auto"/>
              </w:rPr>
            </w:pPr>
          </w:p>
        </w:tc>
        <w:tc>
          <w:tcPr>
            <w:tcW w:w="7960" w:type="dxa"/>
            <w:vAlign w:val="bottom"/>
            <w:tcBorders>
              <w:bottom w:val="single" w:sz="8" w:color="0000EE"/>
            </w:tcBorders>
            <w:gridSpan w:val="29"/>
          </w:tcPr>
          <w:p>
            <w:pPr>
              <w:spacing w:after="0" w:line="124" w:lineRule="exact"/>
              <w:rPr>
                <w:rFonts w:ascii="Arial" w:cs="Arial" w:eastAsia="Arial" w:hAnsi="Arial"/>
                <w:sz w:val="12"/>
                <w:szCs w:val="12"/>
                <w:color w:val="0000EE"/>
                <w:w w:val="91"/>
              </w:rPr>
            </w:pPr>
            <w:hyperlink r:id="rId141">
              <w:r>
                <w:rPr>
                  <w:rFonts w:ascii="Arial" w:cs="Arial" w:eastAsia="Arial" w:hAnsi="Arial"/>
                  <w:sz w:val="12"/>
                  <w:szCs w:val="12"/>
                  <w:color w:val="0000EE"/>
                  <w:w w:val="91"/>
                </w:rPr>
                <w:t>Ferrell Companies, Inc. 2015 Deferred Appreciation Rights Plan, dated as of July 31, 2015. Incorporated by reference to Exhibit 10.23 to our Annual Report on Form</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Borders>
              <w:bottom w:val="single" w:sz="8" w:color="0000EE"/>
            </w:tcBorders>
          </w:tcPr>
          <w:p>
            <w:pPr>
              <w:spacing w:after="0" w:line="124" w:lineRule="exact"/>
              <w:rPr>
                <w:rFonts w:ascii="Arial" w:cs="Arial" w:eastAsia="Arial" w:hAnsi="Arial"/>
                <w:sz w:val="12"/>
                <w:szCs w:val="12"/>
                <w:color w:val="0000EE"/>
                <w:w w:val="90"/>
              </w:rPr>
            </w:pPr>
            <w:hyperlink r:id="rId141">
              <w:r>
                <w:rPr>
                  <w:rFonts w:ascii="Arial" w:cs="Arial" w:eastAsia="Arial" w:hAnsi="Arial"/>
                  <w:sz w:val="12"/>
                  <w:szCs w:val="12"/>
                  <w:color w:val="0000EE"/>
                  <w:w w:val="90"/>
                </w:rPr>
                <w:t>10-K filed September 29, 2015.</w:t>
              </w:r>
            </w:hyperlink>
          </w:p>
        </w:tc>
        <w:tc>
          <w:tcPr>
            <w:tcW w:w="6440" w:type="dxa"/>
            <w:vAlign w:val="bottom"/>
            <w:gridSpan w:val="28"/>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10.18</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w w:val="91"/>
              </w:rPr>
            </w:pPr>
            <w:hyperlink r:id="rId142">
              <w:r>
                <w:rPr>
                  <w:rFonts w:ascii="Arial" w:cs="Arial" w:eastAsia="Arial" w:hAnsi="Arial"/>
                  <w:sz w:val="12"/>
                  <w:szCs w:val="12"/>
                  <w:color w:val="0000EE"/>
                  <w:w w:val="91"/>
                </w:rPr>
                <w:t>Form of Indemnification Agreement, dated as of November 19, 2019, by and between Ferrellgas Partners, LP and each director and executive officer of Ferrellgas,</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80" w:type="dxa"/>
            <w:vAlign w:val="bottom"/>
            <w:tcBorders>
              <w:top w:val="single" w:sz="8" w:color="0000EE"/>
              <w:bottom w:val="single" w:sz="8" w:color="0000EE"/>
            </w:tcBorders>
            <w:gridSpan w:val="20"/>
          </w:tcPr>
          <w:p>
            <w:pPr>
              <w:spacing w:after="0" w:line="124" w:lineRule="exact"/>
              <w:rPr>
                <w:rFonts w:ascii="Arial" w:cs="Arial" w:eastAsia="Arial" w:hAnsi="Arial"/>
                <w:sz w:val="12"/>
                <w:szCs w:val="12"/>
                <w:color w:val="0000EE"/>
                <w:w w:val="91"/>
              </w:rPr>
            </w:pPr>
            <w:hyperlink r:id="rId142">
              <w:r>
                <w:rPr>
                  <w:rFonts w:ascii="Arial" w:cs="Arial" w:eastAsia="Arial" w:hAnsi="Arial"/>
                  <w:sz w:val="12"/>
                  <w:szCs w:val="12"/>
                  <w:color w:val="0000EE"/>
                  <w:w w:val="91"/>
                </w:rPr>
                <w:t>Inc., its general partner. Incorporated by reference to Exhibit 10.34 to our Quarterly Report on Form 10-Q filed December 6, 2019.</w:t>
              </w:r>
            </w:hyperlink>
          </w:p>
        </w:tc>
        <w:tc>
          <w:tcPr>
            <w:tcW w:w="1540" w:type="dxa"/>
            <w:vAlign w:val="bottom"/>
            <w:tcBorders>
              <w:top w:val="single" w:sz="8" w:color="0000EE"/>
            </w:tcBorders>
            <w:gridSpan w:val="4"/>
          </w:tcPr>
          <w:p>
            <w:pPr>
              <w:spacing w:after="0"/>
              <w:rPr>
                <w:sz w:val="10"/>
                <w:szCs w:val="10"/>
                <w:color w:val="auto"/>
              </w:rPr>
            </w:pPr>
          </w:p>
        </w:tc>
        <w:tc>
          <w:tcPr>
            <w:tcW w:w="140" w:type="dxa"/>
            <w:vAlign w:val="bottom"/>
            <w:gridSpan w:val="5"/>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10.19</w:t>
            </w:r>
          </w:p>
        </w:tc>
        <w:tc>
          <w:tcPr>
            <w:tcW w:w="140" w:type="dxa"/>
            <w:vAlign w:val="bottom"/>
          </w:tcPr>
          <w:p>
            <w:pPr>
              <w:spacing w:after="0"/>
              <w:rPr>
                <w:sz w:val="10"/>
                <w:szCs w:val="10"/>
                <w:color w:val="auto"/>
              </w:rPr>
            </w:pPr>
          </w:p>
        </w:tc>
        <w:tc>
          <w:tcPr>
            <w:tcW w:w="7860" w:type="dxa"/>
            <w:vAlign w:val="bottom"/>
            <w:tcBorders>
              <w:bottom w:val="single" w:sz="8" w:color="0000EE"/>
            </w:tcBorders>
            <w:gridSpan w:val="26"/>
          </w:tcPr>
          <w:p>
            <w:pPr>
              <w:spacing w:after="0" w:line="124" w:lineRule="exact"/>
              <w:rPr>
                <w:rFonts w:ascii="Arial" w:cs="Arial" w:eastAsia="Arial" w:hAnsi="Arial"/>
                <w:sz w:val="12"/>
                <w:szCs w:val="12"/>
                <w:color w:val="0000EE"/>
                <w:w w:val="91"/>
              </w:rPr>
            </w:pPr>
            <w:hyperlink r:id="rId143">
              <w:r>
                <w:rPr>
                  <w:rFonts w:ascii="Arial" w:cs="Arial" w:eastAsia="Arial" w:hAnsi="Arial"/>
                  <w:sz w:val="12"/>
                  <w:szCs w:val="12"/>
                  <w:color w:val="0000EE"/>
                  <w:w w:val="91"/>
                </w:rPr>
                <w:t>Change in Control Retention Bonus Letter Agreement with William E. Ruisinger, Chief Financial Officer and Treasurer. Incorporated by reference to Exhibit 10.21</w:t>
              </w:r>
            </w:hyperlink>
          </w:p>
        </w:tc>
        <w:tc>
          <w:tcPr>
            <w:tcW w:w="10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43">
              <w:r>
                <w:rPr>
                  <w:rFonts w:ascii="Arial" w:cs="Arial" w:eastAsia="Arial" w:hAnsi="Arial"/>
                  <w:sz w:val="12"/>
                  <w:szCs w:val="12"/>
                  <w:color w:val="0000EE"/>
                </w:rPr>
                <w:t>in our Current Report on Form 8-K filed April 27,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10.20</w:t>
            </w:r>
          </w:p>
        </w:tc>
        <w:tc>
          <w:tcPr>
            <w:tcW w:w="140" w:type="dxa"/>
            <w:vAlign w:val="bottom"/>
          </w:tcPr>
          <w:p>
            <w:pPr>
              <w:spacing w:after="0"/>
              <w:rPr>
                <w:sz w:val="10"/>
                <w:szCs w:val="10"/>
                <w:color w:val="auto"/>
              </w:rPr>
            </w:pPr>
          </w:p>
        </w:tc>
        <w:tc>
          <w:tcPr>
            <w:tcW w:w="7920" w:type="dxa"/>
            <w:vAlign w:val="bottom"/>
            <w:tcBorders>
              <w:bottom w:val="single" w:sz="8" w:color="0000EE"/>
            </w:tcBorders>
            <w:gridSpan w:val="27"/>
          </w:tcPr>
          <w:p>
            <w:pPr>
              <w:spacing w:after="0" w:line="124" w:lineRule="exact"/>
              <w:rPr>
                <w:rFonts w:ascii="Arial" w:cs="Arial" w:eastAsia="Arial" w:hAnsi="Arial"/>
                <w:sz w:val="12"/>
                <w:szCs w:val="12"/>
                <w:color w:val="0000EE"/>
                <w:w w:val="91"/>
              </w:rPr>
            </w:pPr>
            <w:hyperlink r:id="rId144">
              <w:r>
                <w:rPr>
                  <w:rFonts w:ascii="Arial" w:cs="Arial" w:eastAsia="Arial" w:hAnsi="Arial"/>
                  <w:sz w:val="12"/>
                  <w:szCs w:val="12"/>
                  <w:color w:val="0000EE"/>
                  <w:w w:val="91"/>
                </w:rPr>
                <w:t>Change in Control Retention Bonus Letter Agreement with Bryan J. Wright, Senior Vice President and Chief Operating Officer. Incorporated by reference to Exhibit</w:t>
              </w:r>
            </w:hyperlink>
          </w:p>
        </w:tc>
        <w:tc>
          <w:tcPr>
            <w:tcW w:w="4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44">
              <w:r>
                <w:rPr>
                  <w:rFonts w:ascii="Arial" w:cs="Arial" w:eastAsia="Arial" w:hAnsi="Arial"/>
                  <w:sz w:val="12"/>
                  <w:szCs w:val="12"/>
                  <w:color w:val="0000EE"/>
                </w:rPr>
                <w:t>10.</w:t>
              </w:r>
              <w:r>
                <w:rPr>
                  <w:rFonts w:ascii="Arial" w:cs="Arial" w:eastAsia="Arial" w:hAnsi="Arial"/>
                  <w:sz w:val="12"/>
                  <w:szCs w:val="12"/>
                  <w:u w:val="single" w:color="auto"/>
                  <w:color w:val="0000EE"/>
                </w:rPr>
                <w:t>22</w:t>
              </w:r>
              <w:r>
                <w:rPr>
                  <w:rFonts w:ascii="Arial" w:cs="Arial" w:eastAsia="Arial" w:hAnsi="Arial"/>
                  <w:sz w:val="12"/>
                  <w:szCs w:val="12"/>
                  <w:color w:val="0000EE"/>
                </w:rPr>
                <w:t xml:space="preserve"> in our Current Report on Form 8-K filed April 27,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10.21</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w w:val="91"/>
              </w:rPr>
            </w:pPr>
            <w:hyperlink r:id="rId145">
              <w:r>
                <w:rPr>
                  <w:rFonts w:ascii="Arial" w:cs="Arial" w:eastAsia="Arial" w:hAnsi="Arial"/>
                  <w:sz w:val="12"/>
                  <w:szCs w:val="12"/>
                  <w:color w:val="0000EE"/>
                  <w:w w:val="91"/>
                </w:rPr>
                <w:t>Change in Control Retention Bonus Letter Agreement Tamria A. Zertuche, Senior Vice President and Chief Information Officer. Incorporated by reference to Exhibit</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40" w:type="dxa"/>
            <w:vAlign w:val="bottom"/>
            <w:tcBorders>
              <w:top w:val="single" w:sz="8" w:color="0000EE"/>
            </w:tcBorders>
            <w:gridSpan w:val="28"/>
          </w:tcPr>
          <w:p>
            <w:pPr>
              <w:spacing w:after="0" w:line="124" w:lineRule="exact"/>
              <w:rPr>
                <w:rFonts w:ascii="Arial" w:cs="Arial" w:eastAsia="Arial" w:hAnsi="Arial"/>
                <w:sz w:val="12"/>
                <w:szCs w:val="12"/>
                <w:color w:val="0000EE"/>
              </w:rPr>
            </w:pPr>
            <w:hyperlink r:id="rId145">
              <w:r>
                <w:rPr>
                  <w:rFonts w:ascii="Arial" w:cs="Arial" w:eastAsia="Arial" w:hAnsi="Arial"/>
                  <w:sz w:val="12"/>
                  <w:szCs w:val="12"/>
                  <w:color w:val="0000EE"/>
                </w:rPr>
                <w:t>10.</w:t>
              </w:r>
              <w:r>
                <w:rPr>
                  <w:rFonts w:ascii="Arial" w:cs="Arial" w:eastAsia="Arial" w:hAnsi="Arial"/>
                  <w:sz w:val="12"/>
                  <w:szCs w:val="12"/>
                  <w:u w:val="single" w:color="auto"/>
                  <w:color w:val="0000EE"/>
                </w:rPr>
                <w:t>23</w:t>
              </w:r>
              <w:r>
                <w:rPr>
                  <w:rFonts w:ascii="Arial" w:cs="Arial" w:eastAsia="Arial" w:hAnsi="Arial"/>
                  <w:sz w:val="12"/>
                  <w:szCs w:val="12"/>
                  <w:color w:val="0000EE"/>
                </w:rPr>
                <w:t xml:space="preserve"> in our Current Report on Form 8-K filed April 27, 2020.</w:t>
              </w:r>
            </w:hyperlink>
          </w:p>
        </w:tc>
        <w:tc>
          <w:tcPr>
            <w:tcW w:w="2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24"/>
        </w:trPr>
        <w:tc>
          <w:tcPr>
            <w:tcW w:w="860" w:type="dxa"/>
            <w:vAlign w:val="bottom"/>
          </w:tcPr>
          <w:p>
            <w:pPr>
              <w:ind w:left="60"/>
              <w:spacing w:after="0" w:line="124" w:lineRule="exact"/>
              <w:rPr>
                <w:sz w:val="20"/>
                <w:szCs w:val="20"/>
                <w:color w:val="auto"/>
              </w:rPr>
            </w:pPr>
            <w:r>
              <w:rPr>
                <w:rFonts w:ascii="Arial" w:cs="Arial" w:eastAsia="Arial" w:hAnsi="Arial"/>
                <w:sz w:val="12"/>
                <w:szCs w:val="12"/>
                <w:color w:val="auto"/>
              </w:rPr>
              <w:t>10.22</w:t>
            </w:r>
          </w:p>
        </w:tc>
        <w:tc>
          <w:tcPr>
            <w:tcW w:w="140" w:type="dxa"/>
            <w:vAlign w:val="bottom"/>
          </w:tcPr>
          <w:p>
            <w:pPr>
              <w:spacing w:after="0"/>
              <w:rPr>
                <w:sz w:val="10"/>
                <w:szCs w:val="10"/>
                <w:color w:val="auto"/>
              </w:rPr>
            </w:pPr>
          </w:p>
        </w:tc>
        <w:tc>
          <w:tcPr>
            <w:tcW w:w="7860" w:type="dxa"/>
            <w:vAlign w:val="bottom"/>
            <w:tcBorders>
              <w:bottom w:val="single" w:sz="8" w:color="0000EE"/>
            </w:tcBorders>
            <w:gridSpan w:val="26"/>
          </w:tcPr>
          <w:p>
            <w:pPr>
              <w:spacing w:after="0" w:line="124" w:lineRule="exact"/>
              <w:rPr>
                <w:rFonts w:ascii="Arial" w:cs="Arial" w:eastAsia="Arial" w:hAnsi="Arial"/>
                <w:sz w:val="12"/>
                <w:szCs w:val="12"/>
                <w:color w:val="0000EE"/>
                <w:w w:val="89"/>
              </w:rPr>
            </w:pPr>
            <w:hyperlink r:id="rId146">
              <w:r>
                <w:rPr>
                  <w:rFonts w:ascii="Arial" w:cs="Arial" w:eastAsia="Arial" w:hAnsi="Arial"/>
                  <w:sz w:val="12"/>
                  <w:szCs w:val="12"/>
                  <w:color w:val="0000EE"/>
                  <w:w w:val="89"/>
                </w:rPr>
                <w:t>Forbearance Agreement among Ferrellgas Partners, L.P., Ferrellgas Partners Finance Corp. and the beneficial owners dated June 7, 2020. Incorporated by reference</w:t>
              </w:r>
            </w:hyperlink>
          </w:p>
        </w:tc>
        <w:tc>
          <w:tcPr>
            <w:tcW w:w="10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46">
              <w:r>
                <w:rPr>
                  <w:rFonts w:ascii="Arial" w:cs="Arial" w:eastAsia="Arial" w:hAnsi="Arial"/>
                  <w:sz w:val="12"/>
                  <w:szCs w:val="12"/>
                  <w:color w:val="0000EE"/>
                </w:rPr>
                <w:t>to Exhibit 10.1 to our Current Report on Form 8-K filed June 11, 2020</w:t>
              </w:r>
              <w:r>
                <w:rPr>
                  <w:rFonts w:ascii="Arial" w:cs="Arial" w:eastAsia="Arial" w:hAnsi="Arial"/>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10.23</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w w:val="92"/>
              </w:rPr>
            </w:pPr>
            <w:hyperlink r:id="rId147">
              <w:r>
                <w:rPr>
                  <w:rFonts w:ascii="Arial" w:cs="Arial" w:eastAsia="Arial" w:hAnsi="Arial"/>
                  <w:sz w:val="12"/>
                  <w:szCs w:val="12"/>
                  <w:color w:val="0000EE"/>
                  <w:w w:val="92"/>
                </w:rPr>
                <w:t>Change in Control Retention Bonus Letter Agreement with Brian W. Herrmann, Interim Chief Financial Officer and Treasurer. Incorporated by reference to Exhibit</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0"/>
              </w:rPr>
            </w:pPr>
            <w:hyperlink r:id="rId147">
              <w:r>
                <w:rPr>
                  <w:rFonts w:ascii="Arial" w:cs="Arial" w:eastAsia="Arial" w:hAnsi="Arial"/>
                  <w:sz w:val="12"/>
                  <w:szCs w:val="12"/>
                  <w:color w:val="0000EE"/>
                  <w:w w:val="90"/>
                </w:rPr>
                <w:t>10.</w:t>
              </w:r>
              <w:r>
                <w:rPr>
                  <w:rFonts w:ascii="Arial" w:cs="Arial" w:eastAsia="Arial" w:hAnsi="Arial"/>
                  <w:sz w:val="12"/>
                  <w:szCs w:val="12"/>
                  <w:u w:val="single" w:color="auto"/>
                  <w:color w:val="0000EE"/>
                  <w:w w:val="90"/>
                </w:rPr>
                <w:t>26</w:t>
              </w:r>
              <w:r>
                <w:rPr>
                  <w:rFonts w:ascii="Arial" w:cs="Arial" w:eastAsia="Arial" w:hAnsi="Arial"/>
                  <w:sz w:val="12"/>
                  <w:szCs w:val="12"/>
                  <w:color w:val="0000EE"/>
                  <w:w w:val="90"/>
                </w:rPr>
                <w:t xml:space="preserve"> to our Quarterly Report on Form 10-Q filed December 15, 2020.</w:t>
              </w:r>
            </w:hyperlink>
          </w:p>
        </w:tc>
        <w:tc>
          <w:tcPr>
            <w:tcW w:w="4460" w:type="dxa"/>
            <w:vAlign w:val="bottom"/>
            <w:tcBorders>
              <w:top w:val="single" w:sz="8" w:color="0000EE"/>
            </w:tcBorders>
            <w:gridSpan w:val="17"/>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10.24</w:t>
            </w:r>
          </w:p>
        </w:tc>
        <w:tc>
          <w:tcPr>
            <w:tcW w:w="140" w:type="dxa"/>
            <w:vAlign w:val="bottom"/>
          </w:tcPr>
          <w:p>
            <w:pPr>
              <w:spacing w:after="0"/>
              <w:rPr>
                <w:sz w:val="10"/>
                <w:szCs w:val="10"/>
                <w:color w:val="auto"/>
              </w:rPr>
            </w:pPr>
          </w:p>
        </w:tc>
        <w:tc>
          <w:tcPr>
            <w:tcW w:w="772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r:id="rId148">
              <w:r>
                <w:rPr>
                  <w:rFonts w:ascii="Arial" w:cs="Arial" w:eastAsia="Arial" w:hAnsi="Arial"/>
                  <w:sz w:val="12"/>
                  <w:szCs w:val="12"/>
                  <w:color w:val="0000EE"/>
                  <w:w w:val="91"/>
                </w:rPr>
                <w:t>Change in Control Retention Bonus Letter Agreement with Tamria A. Zertuche, Senior Vice President and Chief Operating Officer. Incorporated by reference to</w:t>
              </w:r>
            </w:hyperlink>
          </w:p>
        </w:tc>
        <w:tc>
          <w:tcPr>
            <w:tcW w:w="24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48">
              <w:r>
                <w:rPr>
                  <w:rFonts w:ascii="Arial" w:cs="Arial" w:eastAsia="Arial" w:hAnsi="Arial"/>
                  <w:sz w:val="12"/>
                  <w:szCs w:val="12"/>
                  <w:color w:val="0000EE"/>
                </w:rPr>
                <w:t>Exhibit 10.27 to our Quarterly Report on Form 10-Q filed December 15,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10.25</w:t>
            </w:r>
          </w:p>
        </w:tc>
        <w:tc>
          <w:tcPr>
            <w:tcW w:w="140" w:type="dxa"/>
            <w:vAlign w:val="bottom"/>
          </w:tcPr>
          <w:p>
            <w:pPr>
              <w:spacing w:after="0"/>
              <w:rPr>
                <w:sz w:val="10"/>
                <w:szCs w:val="10"/>
                <w:color w:val="auto"/>
              </w:rPr>
            </w:pPr>
          </w:p>
        </w:tc>
        <w:tc>
          <w:tcPr>
            <w:tcW w:w="7960" w:type="dxa"/>
            <w:vAlign w:val="bottom"/>
            <w:tcBorders>
              <w:bottom w:val="single" w:sz="8" w:color="0000EE"/>
            </w:tcBorders>
            <w:gridSpan w:val="29"/>
          </w:tcPr>
          <w:p>
            <w:pPr>
              <w:spacing w:after="0" w:line="124" w:lineRule="exact"/>
              <w:rPr>
                <w:rFonts w:ascii="Arial" w:cs="Arial" w:eastAsia="Arial" w:hAnsi="Arial"/>
                <w:sz w:val="12"/>
                <w:szCs w:val="12"/>
                <w:color w:val="0000EE"/>
                <w:w w:val="91"/>
              </w:rPr>
            </w:pPr>
            <w:hyperlink r:id="rId149">
              <w:r>
                <w:rPr>
                  <w:rFonts w:ascii="Arial" w:cs="Arial" w:eastAsia="Arial" w:hAnsi="Arial"/>
                  <w:sz w:val="12"/>
                  <w:szCs w:val="12"/>
                  <w:color w:val="0000EE"/>
                  <w:w w:val="91"/>
                </w:rPr>
                <w:t>Offer Letter, effective as of December 30, 2020, by and among Ferrellgas, Inc. and James E. Ferrell. Incorporated by reference to Exhibit 10.1 to our Current Report</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tcBorders>
              <w:bottom w:val="single" w:sz="8" w:color="0000EE"/>
            </w:tcBorders>
            <w:gridSpan w:val="2"/>
          </w:tcPr>
          <w:p>
            <w:pPr>
              <w:spacing w:after="0" w:line="124" w:lineRule="exact"/>
              <w:rPr>
                <w:rFonts w:ascii="Arial" w:cs="Arial" w:eastAsia="Arial" w:hAnsi="Arial"/>
                <w:sz w:val="12"/>
                <w:szCs w:val="12"/>
                <w:color w:val="0000EE"/>
                <w:w w:val="90"/>
              </w:rPr>
            </w:pPr>
            <w:hyperlink r:id="rId149">
              <w:r>
                <w:rPr>
                  <w:rFonts w:ascii="Arial" w:cs="Arial" w:eastAsia="Arial" w:hAnsi="Arial"/>
                  <w:sz w:val="12"/>
                  <w:szCs w:val="12"/>
                  <w:color w:val="0000EE"/>
                  <w:w w:val="90"/>
                </w:rPr>
                <w:t>on Form 8-K filed January 5, 2021.</w:t>
              </w:r>
            </w:hyperlink>
          </w:p>
        </w:tc>
        <w:tc>
          <w:tcPr>
            <w:tcW w:w="6260" w:type="dxa"/>
            <w:vAlign w:val="bottom"/>
            <w:gridSpan w:val="27"/>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10.26</w:t>
            </w:r>
          </w:p>
        </w:tc>
        <w:tc>
          <w:tcPr>
            <w:tcW w:w="140" w:type="dxa"/>
            <w:vAlign w:val="bottom"/>
          </w:tcPr>
          <w:p>
            <w:pPr>
              <w:spacing w:after="0"/>
              <w:rPr>
                <w:sz w:val="10"/>
                <w:szCs w:val="10"/>
                <w:color w:val="auto"/>
              </w:rPr>
            </w:pPr>
          </w:p>
        </w:tc>
        <w:tc>
          <w:tcPr>
            <w:tcW w:w="760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r:id="rId150">
              <w:r>
                <w:rPr>
                  <w:rFonts w:ascii="Arial" w:cs="Arial" w:eastAsia="Arial" w:hAnsi="Arial"/>
                  <w:sz w:val="12"/>
                  <w:szCs w:val="12"/>
                  <w:color w:val="0000EE"/>
                  <w:w w:val="90"/>
                </w:rPr>
                <w:t>Employment Agreement, dated as of December 31, 2020, by and among Ferrellgas, Inc. and James E. Ferrell. Incorporated by reference to Exhibit 10.2 to our</w:t>
              </w:r>
            </w:hyperlink>
          </w:p>
        </w:tc>
        <w:tc>
          <w:tcPr>
            <w:tcW w:w="36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r:id="rId150">
              <w:r>
                <w:rPr>
                  <w:rFonts w:ascii="Arial" w:cs="Arial" w:eastAsia="Arial" w:hAnsi="Arial"/>
                  <w:sz w:val="12"/>
                  <w:szCs w:val="12"/>
                  <w:color w:val="0000EE"/>
                  <w:w w:val="91"/>
                </w:rPr>
                <w:t>Current Report on Form 8-K filed January 5, 2021.</w:t>
              </w:r>
            </w:hyperlink>
          </w:p>
        </w:tc>
        <w:tc>
          <w:tcPr>
            <w:tcW w:w="5500" w:type="dxa"/>
            <w:vAlign w:val="bottom"/>
            <w:gridSpan w:val="25"/>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10.27</w:t>
            </w:r>
          </w:p>
        </w:tc>
        <w:tc>
          <w:tcPr>
            <w:tcW w:w="140" w:type="dxa"/>
            <w:vAlign w:val="bottom"/>
          </w:tcPr>
          <w:p>
            <w:pPr>
              <w:spacing w:after="0"/>
              <w:rPr>
                <w:sz w:val="10"/>
                <w:szCs w:val="10"/>
                <w:color w:val="auto"/>
              </w:rPr>
            </w:pPr>
          </w:p>
        </w:tc>
        <w:tc>
          <w:tcPr>
            <w:tcW w:w="7960" w:type="dxa"/>
            <w:vAlign w:val="bottom"/>
            <w:tcBorders>
              <w:bottom w:val="single" w:sz="8" w:color="0000EE"/>
            </w:tcBorders>
            <w:gridSpan w:val="29"/>
          </w:tcPr>
          <w:p>
            <w:pPr>
              <w:spacing w:after="0" w:line="124" w:lineRule="exact"/>
              <w:rPr>
                <w:rFonts w:ascii="Arial" w:cs="Arial" w:eastAsia="Arial" w:hAnsi="Arial"/>
                <w:sz w:val="12"/>
                <w:szCs w:val="12"/>
                <w:color w:val="0000EE"/>
                <w:w w:val="90"/>
              </w:rPr>
            </w:pPr>
            <w:hyperlink r:id="rId151">
              <w:r>
                <w:rPr>
                  <w:rFonts w:ascii="Arial" w:cs="Arial" w:eastAsia="Arial" w:hAnsi="Arial"/>
                  <w:sz w:val="12"/>
                  <w:szCs w:val="12"/>
                  <w:color w:val="0000EE"/>
                  <w:w w:val="90"/>
                </w:rPr>
                <w:t>Executive Confidentiality and Restrictive Covenants Agreement, dated as of December 31, 2020, by and among Ferrellgas, Inc. and James E. Ferrell. Incorporated by</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51">
              <w:r>
                <w:rPr>
                  <w:rFonts w:ascii="Arial" w:cs="Arial" w:eastAsia="Arial" w:hAnsi="Arial"/>
                  <w:sz w:val="12"/>
                  <w:szCs w:val="12"/>
                  <w:color w:val="0000EE"/>
                </w:rPr>
                <w:t>reference to Exhibit 10.3 to our Current Report on Form 8-K filed January 5,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24"/>
        </w:trPr>
        <w:tc>
          <w:tcPr>
            <w:tcW w:w="860" w:type="dxa"/>
            <w:vAlign w:val="bottom"/>
          </w:tcPr>
          <w:p>
            <w:pPr>
              <w:ind w:left="100"/>
              <w:spacing w:after="0" w:line="124" w:lineRule="exact"/>
              <w:rPr>
                <w:sz w:val="20"/>
                <w:szCs w:val="20"/>
                <w:color w:val="auto"/>
              </w:rPr>
            </w:pPr>
            <w:r>
              <w:rPr>
                <w:rFonts w:ascii="Arial" w:cs="Arial" w:eastAsia="Arial" w:hAnsi="Arial"/>
                <w:sz w:val="12"/>
                <w:szCs w:val="12"/>
                <w:color w:val="auto"/>
              </w:rPr>
              <w:t>10.28</w:t>
            </w:r>
          </w:p>
        </w:tc>
        <w:tc>
          <w:tcPr>
            <w:tcW w:w="140" w:type="dxa"/>
            <w:vAlign w:val="bottom"/>
          </w:tcPr>
          <w:p>
            <w:pPr>
              <w:spacing w:after="0"/>
              <w:rPr>
                <w:sz w:val="10"/>
                <w:szCs w:val="10"/>
                <w:color w:val="auto"/>
              </w:rPr>
            </w:pPr>
          </w:p>
        </w:tc>
        <w:tc>
          <w:tcPr>
            <w:tcW w:w="7760" w:type="dxa"/>
            <w:vAlign w:val="bottom"/>
            <w:tcBorders>
              <w:bottom w:val="single" w:sz="8" w:color="0000EE"/>
            </w:tcBorders>
            <w:gridSpan w:val="23"/>
          </w:tcPr>
          <w:p>
            <w:pPr>
              <w:spacing w:after="0" w:line="124" w:lineRule="exact"/>
              <w:rPr>
                <w:rFonts w:ascii="Arial" w:cs="Arial" w:eastAsia="Arial" w:hAnsi="Arial"/>
                <w:sz w:val="12"/>
                <w:szCs w:val="12"/>
                <w:color w:val="0000EE"/>
                <w:w w:val="89"/>
              </w:rPr>
            </w:pPr>
            <w:hyperlink r:id="rId152">
              <w:r>
                <w:rPr>
                  <w:rFonts w:ascii="Arial" w:cs="Arial" w:eastAsia="Arial" w:hAnsi="Arial"/>
                  <w:sz w:val="12"/>
                  <w:szCs w:val="12"/>
                  <w:color w:val="0000EE"/>
                  <w:w w:val="89"/>
                </w:rPr>
                <w:t>Term Loan Credit Agreement, dated as of January 8, 2021, between Ferrellgas Partners, L.P., as the borrower, and Ferrellgas, L.P., as the lender. Incorporated by</w:t>
              </w:r>
            </w:hyperlink>
          </w:p>
        </w:tc>
        <w:tc>
          <w:tcPr>
            <w:tcW w:w="200" w:type="dxa"/>
            <w:vAlign w:val="bottom"/>
            <w:gridSpan w:val="6"/>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r:id="rId152">
              <w:r>
                <w:rPr>
                  <w:rFonts w:ascii="Arial" w:cs="Arial" w:eastAsia="Arial" w:hAnsi="Arial"/>
                  <w:sz w:val="12"/>
                  <w:szCs w:val="12"/>
                  <w:color w:val="0000EE"/>
                </w:rPr>
                <w:t>reference to Exhibit 10.1 to our Current Report on Form 8-K filed January 11, 2021.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10.29</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w w:val="90"/>
              </w:rPr>
            </w:pPr>
            <w:hyperlink w:anchor="page105">
              <w:r>
                <w:rPr>
                  <w:rFonts w:ascii="Arial" w:cs="Arial" w:eastAsia="Arial" w:hAnsi="Arial"/>
                  <w:sz w:val="12"/>
                  <w:szCs w:val="12"/>
                  <w:color w:val="0000EE"/>
                  <w:w w:val="90"/>
                </w:rPr>
                <w:t>First Amendment to the Credit Agreement, dated as of June 11, 2021, among Ferrellgas, L.P., Ferrellgas, Inc., the lenders party thereto, and JPMorgan Chase Bank,</w:t>
              </w:r>
            </w:hyperlink>
          </w:p>
        </w:tc>
      </w:tr>
      <w:tr>
        <w:trPr>
          <w:trHeight w:val="124"/>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9"/>
              </w:rPr>
            </w:pPr>
            <w:hyperlink w:anchor="page105">
              <w:r>
                <w:rPr>
                  <w:rFonts w:ascii="Arial" w:cs="Arial" w:eastAsia="Arial" w:hAnsi="Arial"/>
                  <w:sz w:val="12"/>
                  <w:szCs w:val="12"/>
                  <w:color w:val="0000EE"/>
                  <w:w w:val="89"/>
                </w:rPr>
                <w:t>N.A., as administrative agent and collateral agent.</w:t>
              </w:r>
            </w:hyperlink>
          </w:p>
        </w:tc>
        <w:tc>
          <w:tcPr>
            <w:tcW w:w="5440" w:type="dxa"/>
            <w:vAlign w:val="bottom"/>
            <w:tcBorders>
              <w:top w:val="single" w:sz="8" w:color="0000EE"/>
            </w:tcBorders>
            <w:gridSpan w:val="22"/>
          </w:tcPr>
          <w:p>
            <w:pPr>
              <w:spacing w:after="0"/>
              <w:rPr>
                <w:sz w:val="10"/>
                <w:szCs w:val="10"/>
                <w:color w:val="auto"/>
              </w:rPr>
            </w:pPr>
          </w:p>
        </w:tc>
        <w:tc>
          <w:tcPr>
            <w:tcW w:w="120" w:type="dxa"/>
            <w:vAlign w:val="bottom"/>
            <w:gridSpan w:val="4"/>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31.1</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w:anchor="page120">
              <w:r>
                <w:rPr>
                  <w:rFonts w:ascii="Arial" w:cs="Arial" w:eastAsia="Arial" w:hAnsi="Arial"/>
                  <w:sz w:val="12"/>
                  <w:szCs w:val="12"/>
                  <w:color w:val="0000EE"/>
                </w:rPr>
                <w:t>Certification of Ferrellgas Partners, L.P. pursuant to Rule 13a-14(a) or Rule 15d-14(a) of the Exchange Act.</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31.2</w:t>
            </w:r>
          </w:p>
        </w:tc>
        <w:tc>
          <w:tcPr>
            <w:tcW w:w="140" w:type="dxa"/>
            <w:vAlign w:val="bottom"/>
          </w:tcPr>
          <w:p>
            <w:pPr>
              <w:spacing w:after="0"/>
              <w:rPr>
                <w:sz w:val="10"/>
                <w:szCs w:val="10"/>
                <w:color w:val="auto"/>
              </w:rPr>
            </w:pPr>
          </w:p>
        </w:tc>
        <w:tc>
          <w:tcPr>
            <w:tcW w:w="564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122">
              <w:r>
                <w:rPr>
                  <w:rFonts w:ascii="Arial" w:cs="Arial" w:eastAsia="Arial" w:hAnsi="Arial"/>
                  <w:sz w:val="12"/>
                  <w:szCs w:val="12"/>
                  <w:color w:val="0000EE"/>
                  <w:w w:val="90"/>
                </w:rPr>
                <w:t>Certification of Ferrellgas Partners Finance Corp. pursuant to Rule 13a-14(a) or Rule 15d-14(a) of the Exchange Act.</w:t>
              </w:r>
            </w:hyperlink>
          </w:p>
        </w:tc>
        <w:tc>
          <w:tcPr>
            <w:tcW w:w="2320" w:type="dxa"/>
            <w:vAlign w:val="bottom"/>
            <w:gridSpan w:val="11"/>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31.3</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w:anchor="page124">
              <w:r>
                <w:rPr>
                  <w:rFonts w:ascii="Arial" w:cs="Arial" w:eastAsia="Arial" w:hAnsi="Arial"/>
                  <w:sz w:val="12"/>
                  <w:szCs w:val="12"/>
                  <w:color w:val="0000EE"/>
                </w:rPr>
                <w:t>Certification of Ferrellgas, L.P. pursuant to Rule 13a-14(a) or Rule 15d-14(a) of the Exchange Act.</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31.4</w:t>
            </w:r>
          </w:p>
        </w:tc>
        <w:tc>
          <w:tcPr>
            <w:tcW w:w="140" w:type="dxa"/>
            <w:vAlign w:val="bottom"/>
          </w:tcPr>
          <w:p>
            <w:pPr>
              <w:spacing w:after="0"/>
              <w:rPr>
                <w:sz w:val="10"/>
                <w:szCs w:val="10"/>
                <w:color w:val="auto"/>
              </w:rPr>
            </w:pPr>
          </w:p>
        </w:tc>
        <w:tc>
          <w:tcPr>
            <w:tcW w:w="7960" w:type="dxa"/>
            <w:vAlign w:val="bottom"/>
            <w:gridSpan w:val="29"/>
          </w:tcPr>
          <w:p>
            <w:pPr>
              <w:spacing w:after="0" w:line="124" w:lineRule="exact"/>
              <w:rPr>
                <w:rFonts w:ascii="Arial" w:cs="Arial" w:eastAsia="Arial" w:hAnsi="Arial"/>
                <w:sz w:val="12"/>
                <w:szCs w:val="12"/>
                <w:color w:val="0000EE"/>
              </w:rPr>
            </w:pPr>
            <w:hyperlink w:anchor="page126">
              <w:r>
                <w:rPr>
                  <w:rFonts w:ascii="Arial" w:cs="Arial" w:eastAsia="Arial" w:hAnsi="Arial"/>
                  <w:sz w:val="12"/>
                  <w:szCs w:val="12"/>
                  <w:color w:val="0000EE"/>
                </w:rPr>
                <w:t>Certification of Ferrellgas Finance Corp. pursuant to Rule 13a-14(a) or Rule 15d-14(a) of the Exchange Act.</w:t>
              </w:r>
            </w:hyperlink>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32.1</w:t>
            </w:r>
          </w:p>
        </w:tc>
        <w:tc>
          <w:tcPr>
            <w:tcW w:w="14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0"/>
              </w:rPr>
            </w:pPr>
            <w:hyperlink w:anchor="page128">
              <w:r>
                <w:rPr>
                  <w:rFonts w:ascii="Arial" w:cs="Arial" w:eastAsia="Arial" w:hAnsi="Arial"/>
                  <w:sz w:val="12"/>
                  <w:szCs w:val="12"/>
                  <w:color w:val="0000EE"/>
                  <w:w w:val="90"/>
                </w:rPr>
                <w:t>Certification of Ferrellgas Partners, L.P. pursuant to 18 U.S.C. Section 1350.</w:t>
              </w:r>
            </w:hyperlink>
          </w:p>
        </w:tc>
        <w:tc>
          <w:tcPr>
            <w:tcW w:w="1520" w:type="dxa"/>
            <w:vAlign w:val="bottom"/>
            <w:tcBorders>
              <w:top w:val="single" w:sz="8" w:color="0000EE"/>
            </w:tcBorders>
            <w:gridSpan w:val="7"/>
          </w:tcPr>
          <w:p>
            <w:pPr>
              <w:spacing w:after="0"/>
              <w:rPr>
                <w:sz w:val="10"/>
                <w:szCs w:val="10"/>
                <w:color w:val="auto"/>
              </w:rPr>
            </w:pPr>
          </w:p>
        </w:tc>
        <w:tc>
          <w:tcPr>
            <w:tcW w:w="2760" w:type="dxa"/>
            <w:vAlign w:val="bottom"/>
            <w:gridSpan w:val="12"/>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32.2</w:t>
            </w:r>
          </w:p>
        </w:tc>
        <w:tc>
          <w:tcPr>
            <w:tcW w:w="140" w:type="dxa"/>
            <w:vAlign w:val="bottom"/>
          </w:tcPr>
          <w:p>
            <w:pPr>
              <w:spacing w:after="0"/>
              <w:rPr>
                <w:sz w:val="10"/>
                <w:szCs w:val="10"/>
                <w:color w:val="auto"/>
              </w:rPr>
            </w:pPr>
          </w:p>
        </w:tc>
        <w:tc>
          <w:tcPr>
            <w:tcW w:w="4140" w:type="dxa"/>
            <w:vAlign w:val="bottom"/>
            <w:tcBorders>
              <w:bottom w:val="single" w:sz="8" w:color="0000EE"/>
            </w:tcBorders>
            <w:gridSpan w:val="14"/>
          </w:tcPr>
          <w:p>
            <w:pPr>
              <w:spacing w:after="0" w:line="124" w:lineRule="exact"/>
              <w:rPr>
                <w:rFonts w:ascii="Arial" w:cs="Arial" w:eastAsia="Arial" w:hAnsi="Arial"/>
                <w:sz w:val="12"/>
                <w:szCs w:val="12"/>
                <w:color w:val="0000EE"/>
                <w:w w:val="90"/>
              </w:rPr>
            </w:pPr>
            <w:hyperlink w:anchor="page129">
              <w:r>
                <w:rPr>
                  <w:rFonts w:ascii="Arial" w:cs="Arial" w:eastAsia="Arial" w:hAnsi="Arial"/>
                  <w:sz w:val="12"/>
                  <w:szCs w:val="12"/>
                  <w:color w:val="0000EE"/>
                  <w:w w:val="90"/>
                </w:rPr>
                <w:t>Certification of Ferrellgas Partners Finance Corp. pursuant to 18 U.S.C. Section 1350.</w:t>
              </w:r>
            </w:hyperlink>
          </w:p>
        </w:tc>
        <w:tc>
          <w:tcPr>
            <w:tcW w:w="3820" w:type="dxa"/>
            <w:vAlign w:val="bottom"/>
            <w:gridSpan w:val="15"/>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32.3</w:t>
            </w:r>
          </w:p>
        </w:tc>
        <w:tc>
          <w:tcPr>
            <w:tcW w:w="140" w:type="dxa"/>
            <w:vAlign w:val="bottom"/>
          </w:tcPr>
          <w:p>
            <w:pPr>
              <w:spacing w:after="0"/>
              <w:rPr>
                <w:sz w:val="10"/>
                <w:szCs w:val="10"/>
                <w:color w:val="auto"/>
              </w:rPr>
            </w:pPr>
          </w:p>
        </w:tc>
        <w:tc>
          <w:tcPr>
            <w:tcW w:w="326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w:anchor="page130">
              <w:r>
                <w:rPr>
                  <w:rFonts w:ascii="Arial" w:cs="Arial" w:eastAsia="Arial" w:hAnsi="Arial"/>
                  <w:sz w:val="12"/>
                  <w:szCs w:val="12"/>
                  <w:color w:val="0000EE"/>
                  <w:w w:val="90"/>
                </w:rPr>
                <w:t>Certification of Ferrellgas, L.P. pursuant to 18 U.S.C. Section 1350.</w:t>
              </w:r>
            </w:hyperlink>
          </w:p>
        </w:tc>
        <w:tc>
          <w:tcPr>
            <w:tcW w:w="4700" w:type="dxa"/>
            <w:vAlign w:val="bottom"/>
            <w:gridSpan w:val="22"/>
          </w:tcPr>
          <w:p>
            <w:pPr>
              <w:spacing w:after="0"/>
              <w:rPr>
                <w:sz w:val="10"/>
                <w:szCs w:val="10"/>
                <w:color w:val="auto"/>
              </w:rPr>
            </w:pPr>
          </w:p>
        </w:tc>
      </w:tr>
      <w:tr>
        <w:trPr>
          <w:trHeight w:val="124"/>
        </w:trPr>
        <w:tc>
          <w:tcPr>
            <w:tcW w:w="860" w:type="dxa"/>
            <w:vAlign w:val="bottom"/>
          </w:tcPr>
          <w:p>
            <w:pPr>
              <w:spacing w:after="0" w:line="124" w:lineRule="exact"/>
              <w:rPr>
                <w:sz w:val="20"/>
                <w:szCs w:val="20"/>
                <w:color w:val="auto"/>
              </w:rPr>
            </w:pPr>
            <w:r>
              <w:rPr>
                <w:rFonts w:ascii="Arial" w:cs="Arial" w:eastAsia="Arial" w:hAnsi="Arial"/>
                <w:sz w:val="12"/>
                <w:szCs w:val="12"/>
                <w:color w:val="auto"/>
              </w:rPr>
              <w:t>* 32.4</w:t>
            </w:r>
          </w:p>
        </w:tc>
        <w:tc>
          <w:tcPr>
            <w:tcW w:w="140" w:type="dxa"/>
            <w:vAlign w:val="bottom"/>
          </w:tcPr>
          <w:p>
            <w:pPr>
              <w:spacing w:after="0"/>
              <w:rPr>
                <w:sz w:val="10"/>
                <w:szCs w:val="10"/>
                <w:color w:val="auto"/>
              </w:rPr>
            </w:pPr>
          </w:p>
        </w:tc>
        <w:tc>
          <w:tcPr>
            <w:tcW w:w="378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131">
              <w:r>
                <w:rPr>
                  <w:rFonts w:ascii="Arial" w:cs="Arial" w:eastAsia="Arial" w:hAnsi="Arial"/>
                  <w:sz w:val="12"/>
                  <w:szCs w:val="12"/>
                  <w:color w:val="0000EE"/>
                  <w:w w:val="91"/>
                </w:rPr>
                <w:t>Certification of Ferrellgas Finance Corp. pursuant to 18 U.S.C. Section 1350.</w:t>
              </w:r>
            </w:hyperlink>
          </w:p>
        </w:tc>
        <w:tc>
          <w:tcPr>
            <w:tcW w:w="4180" w:type="dxa"/>
            <w:vAlign w:val="bottom"/>
            <w:gridSpan w:val="18"/>
          </w:tcPr>
          <w:p>
            <w:pPr>
              <w:spacing w:after="0"/>
              <w:rPr>
                <w:sz w:val="10"/>
                <w:szCs w:val="10"/>
                <w:color w:val="auto"/>
              </w:rPr>
            </w:pPr>
          </w:p>
        </w:tc>
      </w:tr>
      <w:tr>
        <w:trPr>
          <w:trHeight w:val="142"/>
        </w:trPr>
        <w:tc>
          <w:tcPr>
            <w:tcW w:w="1000" w:type="dxa"/>
            <w:vAlign w:val="bottom"/>
            <w:gridSpan w:val="2"/>
          </w:tcPr>
          <w:p>
            <w:pPr>
              <w:spacing w:after="0"/>
              <w:rPr>
                <w:sz w:val="20"/>
                <w:szCs w:val="20"/>
                <w:color w:val="auto"/>
              </w:rPr>
            </w:pPr>
            <w:r>
              <w:rPr>
                <w:rFonts w:ascii="Arial" w:cs="Arial" w:eastAsia="Arial" w:hAnsi="Arial"/>
                <w:sz w:val="12"/>
                <w:szCs w:val="12"/>
                <w:color w:val="auto"/>
              </w:rPr>
              <w:t>* 101.INS</w:t>
            </w:r>
          </w:p>
        </w:tc>
        <w:tc>
          <w:tcPr>
            <w:tcW w:w="7960" w:type="dxa"/>
            <w:vAlign w:val="bottom"/>
            <w:gridSpan w:val="29"/>
          </w:tcPr>
          <w:p>
            <w:pPr>
              <w:spacing w:after="0"/>
              <w:rPr>
                <w:sz w:val="20"/>
                <w:szCs w:val="20"/>
                <w:color w:val="auto"/>
              </w:rPr>
            </w:pPr>
            <w:r>
              <w:rPr>
                <w:rFonts w:ascii="Arial" w:cs="Arial" w:eastAsia="Arial" w:hAnsi="Arial"/>
                <w:sz w:val="12"/>
                <w:szCs w:val="12"/>
                <w:color w:val="auto"/>
                <w:w w:val="96"/>
              </w:rPr>
              <w:t>XBRL Instance Document (the instance document does not appear in the Interactive Data File because its XBRL tags are embedded within the Inline XBRL</w:t>
            </w:r>
          </w:p>
        </w:tc>
      </w:tr>
      <w:tr>
        <w:trPr>
          <w:trHeight w:val="144"/>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960" w:type="dxa"/>
            <w:vAlign w:val="bottom"/>
            <w:gridSpan w:val="29"/>
          </w:tcPr>
          <w:p>
            <w:pPr>
              <w:spacing w:after="0"/>
              <w:rPr>
                <w:sz w:val="20"/>
                <w:szCs w:val="20"/>
                <w:color w:val="auto"/>
              </w:rPr>
            </w:pPr>
            <w:r>
              <w:rPr>
                <w:rFonts w:ascii="Arial" w:cs="Arial" w:eastAsia="Arial" w:hAnsi="Arial"/>
                <w:sz w:val="12"/>
                <w:szCs w:val="12"/>
                <w:color w:val="auto"/>
              </w:rPr>
              <w:t>document).</w:t>
            </w:r>
          </w:p>
        </w:tc>
      </w:tr>
      <w:tr>
        <w:trPr>
          <w:trHeight w:val="144"/>
        </w:trPr>
        <w:tc>
          <w:tcPr>
            <w:tcW w:w="1000" w:type="dxa"/>
            <w:vAlign w:val="bottom"/>
            <w:gridSpan w:val="2"/>
          </w:tcPr>
          <w:p>
            <w:pPr>
              <w:spacing w:after="0"/>
              <w:rPr>
                <w:sz w:val="20"/>
                <w:szCs w:val="20"/>
                <w:color w:val="auto"/>
              </w:rPr>
            </w:pPr>
            <w:r>
              <w:rPr>
                <w:rFonts w:ascii="Arial" w:cs="Arial" w:eastAsia="Arial" w:hAnsi="Arial"/>
                <w:sz w:val="12"/>
                <w:szCs w:val="12"/>
                <w:color w:val="auto"/>
              </w:rPr>
              <w:t>* 101.SCH</w:t>
            </w:r>
          </w:p>
        </w:tc>
        <w:tc>
          <w:tcPr>
            <w:tcW w:w="7960" w:type="dxa"/>
            <w:vAlign w:val="bottom"/>
            <w:gridSpan w:val="29"/>
          </w:tcPr>
          <w:p>
            <w:pPr>
              <w:spacing w:after="0"/>
              <w:rPr>
                <w:sz w:val="20"/>
                <w:szCs w:val="20"/>
                <w:color w:val="auto"/>
              </w:rPr>
            </w:pPr>
            <w:r>
              <w:rPr>
                <w:rFonts w:ascii="Arial" w:cs="Arial" w:eastAsia="Arial" w:hAnsi="Arial"/>
                <w:sz w:val="12"/>
                <w:szCs w:val="12"/>
                <w:color w:val="auto"/>
              </w:rPr>
              <w:t>XBRL Taxonomy Extension Schema Document.</w:t>
            </w:r>
          </w:p>
        </w:tc>
      </w:tr>
      <w:tr>
        <w:trPr>
          <w:trHeight w:val="144"/>
        </w:trPr>
        <w:tc>
          <w:tcPr>
            <w:tcW w:w="1000" w:type="dxa"/>
            <w:vAlign w:val="bottom"/>
            <w:gridSpan w:val="2"/>
          </w:tcPr>
          <w:p>
            <w:pPr>
              <w:spacing w:after="0"/>
              <w:rPr>
                <w:sz w:val="20"/>
                <w:szCs w:val="20"/>
                <w:color w:val="auto"/>
              </w:rPr>
            </w:pPr>
            <w:r>
              <w:rPr>
                <w:rFonts w:ascii="Arial" w:cs="Arial" w:eastAsia="Arial" w:hAnsi="Arial"/>
                <w:sz w:val="12"/>
                <w:szCs w:val="12"/>
                <w:color w:val="auto"/>
              </w:rPr>
              <w:t>* 101.CAL</w:t>
            </w:r>
          </w:p>
        </w:tc>
        <w:tc>
          <w:tcPr>
            <w:tcW w:w="7960" w:type="dxa"/>
            <w:vAlign w:val="bottom"/>
            <w:gridSpan w:val="29"/>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53"/>
        </w:trPr>
        <w:tc>
          <w:tcPr>
            <w:tcW w:w="1000" w:type="dxa"/>
            <w:vAlign w:val="bottom"/>
            <w:gridSpan w:val="2"/>
          </w:tcPr>
          <w:p>
            <w:pPr>
              <w:spacing w:after="0"/>
              <w:rPr>
                <w:sz w:val="20"/>
                <w:szCs w:val="20"/>
                <w:color w:val="auto"/>
              </w:rPr>
            </w:pPr>
            <w:r>
              <w:rPr>
                <w:rFonts w:ascii="Arial" w:cs="Arial" w:eastAsia="Arial" w:hAnsi="Arial"/>
                <w:sz w:val="12"/>
                <w:szCs w:val="12"/>
                <w:color w:val="auto"/>
              </w:rPr>
              <w:t>* 101.DEF</w:t>
            </w:r>
          </w:p>
        </w:tc>
        <w:tc>
          <w:tcPr>
            <w:tcW w:w="7960" w:type="dxa"/>
            <w:vAlign w:val="bottom"/>
            <w:gridSpan w:val="29"/>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324"/>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10"/>
          </w:tcPr>
          <w:p>
            <w:pPr>
              <w:ind w:left="3400"/>
              <w:spacing w:after="0"/>
              <w:rPr>
                <w:sz w:val="20"/>
                <w:szCs w:val="20"/>
                <w:color w:val="auto"/>
              </w:rPr>
            </w:pPr>
            <w:r>
              <w:rPr>
                <w:rFonts w:ascii="Arial" w:cs="Arial" w:eastAsia="Arial" w:hAnsi="Arial"/>
                <w:sz w:val="12"/>
                <w:szCs w:val="12"/>
                <w:color w:val="auto"/>
              </w:rPr>
              <w:t>102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102" w:name="page103"/>
    <w:bookmarkEnd w:id="10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Borders>
              <w:bottom w:val="single" w:sz="8" w:color="0000EE"/>
            </w:tcBorders>
          </w:tcPr>
          <w:p>
            <w:pPr>
              <w:spacing w:after="0"/>
              <w:rPr>
                <w:rFonts w:ascii="Arial" w:cs="Arial" w:eastAsia="Arial" w:hAnsi="Arial"/>
                <w:sz w:val="12"/>
                <w:szCs w:val="12"/>
                <w:color w:val="0000EE"/>
                <w:w w:val="88"/>
              </w:rPr>
            </w:pPr>
            <w:hyperlink w:anchor="page2">
              <w:r>
                <w:rPr>
                  <w:rFonts w:ascii="Arial" w:cs="Arial" w:eastAsia="Arial" w:hAnsi="Arial"/>
                  <w:sz w:val="12"/>
                  <w:szCs w:val="12"/>
                  <w:color w:val="0000EE"/>
                  <w:w w:val="88"/>
                </w:rPr>
                <w:t>Table of Contents</w:t>
              </w:r>
            </w:hyperlink>
          </w:p>
        </w:tc>
        <w:tc>
          <w:tcPr>
            <w:tcW w:w="60" w:type="dxa"/>
            <w:vAlign w:val="bottom"/>
          </w:tcPr>
          <w:p>
            <w:pPr>
              <w:spacing w:after="0"/>
              <w:rPr>
                <w:sz w:val="12"/>
                <w:szCs w:val="12"/>
                <w:color w:val="auto"/>
              </w:rPr>
            </w:pPr>
          </w:p>
        </w:tc>
        <w:tc>
          <w:tcPr>
            <w:tcW w:w="7800" w:type="dxa"/>
            <w:vAlign w:val="bottom"/>
          </w:tcPr>
          <w:p>
            <w:pPr>
              <w:spacing w:after="0"/>
              <w:rPr>
                <w:sz w:val="12"/>
                <w:szCs w:val="12"/>
                <w:color w:val="auto"/>
              </w:rPr>
            </w:pPr>
          </w:p>
        </w:tc>
      </w:tr>
      <w:tr>
        <w:trPr>
          <w:trHeight w:val="565"/>
        </w:trPr>
        <w:tc>
          <w:tcPr>
            <w:tcW w:w="920" w:type="dxa"/>
            <w:vAlign w:val="bottom"/>
            <w:gridSpan w:val="2"/>
          </w:tcPr>
          <w:p>
            <w:pPr>
              <w:spacing w:after="0"/>
              <w:rPr>
                <w:sz w:val="20"/>
                <w:szCs w:val="20"/>
                <w:color w:val="auto"/>
              </w:rPr>
            </w:pPr>
            <w:r>
              <w:rPr>
                <w:rFonts w:ascii="Arial" w:cs="Arial" w:eastAsia="Arial" w:hAnsi="Arial"/>
                <w:sz w:val="12"/>
                <w:szCs w:val="12"/>
                <w:color w:val="auto"/>
              </w:rPr>
              <w:t>* 101.LAB</w:t>
            </w:r>
          </w:p>
        </w:tc>
        <w:tc>
          <w:tcPr>
            <w:tcW w:w="7800" w:type="dxa"/>
            <w:vAlign w:val="bottom"/>
          </w:tcPr>
          <w:p>
            <w:pPr>
              <w:ind w:left="80"/>
              <w:spacing w:after="0"/>
              <w:rPr>
                <w:sz w:val="20"/>
                <w:szCs w:val="20"/>
                <w:color w:val="auto"/>
              </w:rPr>
            </w:pPr>
            <w:r>
              <w:rPr>
                <w:rFonts w:ascii="Arial" w:cs="Arial" w:eastAsia="Arial" w:hAnsi="Arial"/>
                <w:sz w:val="12"/>
                <w:szCs w:val="12"/>
                <w:color w:val="auto"/>
              </w:rPr>
              <w:t>XBRL Taxonomy Extension Label Linkbase Document.</w:t>
            </w: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 101.PRE</w:t>
            </w:r>
          </w:p>
        </w:tc>
        <w:tc>
          <w:tcPr>
            <w:tcW w:w="7800" w:type="dxa"/>
            <w:vAlign w:val="bottom"/>
          </w:tcPr>
          <w:p>
            <w:pPr>
              <w:ind w:left="80"/>
              <w:spacing w:after="0"/>
              <w:rPr>
                <w:sz w:val="20"/>
                <w:szCs w:val="20"/>
                <w:color w:val="auto"/>
              </w:rPr>
            </w:pPr>
            <w:r>
              <w:rPr>
                <w:rFonts w:ascii="Arial" w:cs="Arial" w:eastAsia="Arial" w:hAnsi="Arial"/>
                <w:sz w:val="12"/>
                <w:szCs w:val="12"/>
                <w:color w:val="auto"/>
              </w:rPr>
              <w:t>XBRL Taxonomy Extension Presentation Linkbase Document.</w:t>
            </w:r>
          </w:p>
        </w:tc>
      </w:tr>
      <w:tr>
        <w:trPr>
          <w:trHeight w:val="144"/>
        </w:trPr>
        <w:tc>
          <w:tcPr>
            <w:tcW w:w="860" w:type="dxa"/>
            <w:vAlign w:val="bottom"/>
          </w:tcPr>
          <w:p>
            <w:pPr>
              <w:spacing w:after="0"/>
              <w:rPr>
                <w:sz w:val="20"/>
                <w:szCs w:val="20"/>
                <w:color w:val="auto"/>
              </w:rPr>
            </w:pPr>
            <w:r>
              <w:rPr>
                <w:rFonts w:ascii="Arial" w:cs="Arial" w:eastAsia="Arial" w:hAnsi="Arial"/>
                <w:sz w:val="12"/>
                <w:szCs w:val="12"/>
                <w:color w:val="auto"/>
              </w:rPr>
              <w:t>* 104</w:t>
            </w:r>
          </w:p>
        </w:tc>
        <w:tc>
          <w:tcPr>
            <w:tcW w:w="6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w w:val="91"/>
              </w:rPr>
              <w:t>The cover page from Ferrellgas Partners, L.P.’s Quarterly Report on Form 10-Q for the quarter ended April 30, 2021, formatted in Inline XBRL and contained in</w:t>
            </w:r>
          </w:p>
        </w:tc>
      </w:tr>
      <w:tr>
        <w:trPr>
          <w:trHeight w:val="153"/>
        </w:trPr>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45720</wp:posOffset>
            </wp:positionV>
            <wp:extent cx="142303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15" w:lineRule="exact"/>
        <w:rPr>
          <w:sz w:val="20"/>
          <w:szCs w:val="20"/>
          <w:color w:val="auto"/>
        </w:rPr>
      </w:pPr>
    </w:p>
    <w:p>
      <w:pPr>
        <w:ind w:left="240" w:hanging="218"/>
        <w:spacing w:after="0"/>
        <w:tabs>
          <w:tab w:leader="none" w:pos="2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 w:lineRule="exact"/>
        <w:rPr>
          <w:sz w:val="20"/>
          <w:szCs w:val="20"/>
          <w:color w:val="auto"/>
        </w:rPr>
      </w:pPr>
    </w:p>
    <w:p>
      <w:pPr>
        <w:ind w:left="240" w:hanging="218"/>
        <w:spacing w:after="0"/>
        <w:tabs>
          <w:tab w:leader="none" w:pos="2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Management contracts or compensatory plans.</w:t>
      </w:r>
    </w:p>
    <w:p>
      <w:pPr>
        <w:spacing w:after="0" w:line="6" w:lineRule="exact"/>
        <w:rPr>
          <w:sz w:val="20"/>
          <w:szCs w:val="20"/>
          <w:color w:val="auto"/>
        </w:rPr>
      </w:pPr>
    </w:p>
    <w:p>
      <w:pPr>
        <w:ind w:left="240" w:hanging="218"/>
        <w:spacing w:after="0"/>
        <w:tabs>
          <w:tab w:leader="none" w:pos="2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Confidential treatment has been granted with respect to certain portions of this exhibit. Omitted portions have been filed separately with the SEC.</w:t>
      </w:r>
    </w:p>
    <w:p>
      <w:pPr>
        <w:spacing w:after="0" w:line="141" w:lineRule="exact"/>
        <w:rPr>
          <w:sz w:val="20"/>
          <w:szCs w:val="20"/>
          <w:color w:val="auto"/>
        </w:rPr>
      </w:pPr>
    </w:p>
    <w:p>
      <w:pPr>
        <w:ind w:left="20" w:right="199"/>
        <w:spacing w:after="0" w:line="259" w:lineRule="auto"/>
        <w:rPr>
          <w:sz w:val="20"/>
          <w:szCs w:val="20"/>
          <w:color w:val="auto"/>
        </w:rPr>
      </w:pPr>
      <w:r>
        <w:rPr>
          <w:rFonts w:ascii="Arial" w:cs="Arial" w:eastAsia="Arial" w:hAnsi="Arial"/>
          <w:sz w:val="12"/>
          <w:szCs w:val="12"/>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80" w:right="1440" w:bottom="1440" w:gutter="0" w:footer="0" w:header="0"/>
        </w:sectPr>
      </w:pPr>
    </w:p>
    <w:bookmarkStart w:id="103" w:name="page104"/>
    <w:bookmarkEnd w:id="10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0"/>
          <w:szCs w:val="10"/>
          <w:color w:val="auto"/>
        </w:rPr>
        <w:t>Pursuant to the requirements of the Securities Exchange Act of 1934, the registrants have duly caused this report to be signed on its behalf by the undersigned, thereunto duly authorized.</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FERRELLGAS PARTNERS, L.P.</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By Ferrellgas, Inc., its general partner</w:t>
            </w:r>
          </w:p>
        </w:tc>
      </w:tr>
      <w:tr>
        <w:trPr>
          <w:trHeight w:val="288"/>
        </w:trPr>
        <w:tc>
          <w:tcPr>
            <w:tcW w:w="460" w:type="dxa"/>
            <w:vAlign w:val="bottom"/>
          </w:tcPr>
          <w:p>
            <w:pPr>
              <w:ind w:left="40"/>
              <w:spacing w:after="0"/>
              <w:rPr>
                <w:sz w:val="20"/>
                <w:szCs w:val="20"/>
                <w:color w:val="auto"/>
              </w:rPr>
            </w:pPr>
            <w:r>
              <w:rPr>
                <w:rFonts w:ascii="Arial" w:cs="Arial" w:eastAsia="Arial" w:hAnsi="Arial"/>
                <w:sz w:val="12"/>
                <w:szCs w:val="12"/>
                <w:color w:val="auto"/>
              </w:rPr>
              <w:t>Date:</w:t>
            </w:r>
          </w:p>
        </w:tc>
        <w:tc>
          <w:tcPr>
            <w:tcW w:w="2380" w:type="dxa"/>
            <w:vAlign w:val="bottom"/>
          </w:tcPr>
          <w:p>
            <w:pPr>
              <w:ind w:left="140"/>
              <w:spacing w:after="0"/>
              <w:rPr>
                <w:sz w:val="20"/>
                <w:szCs w:val="20"/>
                <w:color w:val="auto"/>
              </w:rPr>
            </w:pPr>
            <w:r>
              <w:rPr>
                <w:rFonts w:ascii="Arial" w:cs="Arial" w:eastAsia="Arial" w:hAnsi="Arial"/>
                <w:sz w:val="12"/>
                <w:szCs w:val="12"/>
                <w:color w:val="auto"/>
              </w:rPr>
              <w:t>June 14, 2021</w:t>
            </w:r>
          </w:p>
        </w:tc>
        <w:tc>
          <w:tcPr>
            <w:tcW w:w="2020" w:type="dxa"/>
            <w:vAlign w:val="bottom"/>
          </w:tcPr>
          <w:p>
            <w:pPr>
              <w:ind w:left="168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42"/>
        </w:trPr>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Brian W. Herrmann</w:t>
            </w:r>
          </w:p>
        </w:tc>
      </w:tr>
      <w:tr>
        <w:trPr>
          <w:trHeight w:val="270"/>
        </w:trPr>
        <w:tc>
          <w:tcPr>
            <w:tcW w:w="4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Interim Chief Financial Officer; Treasurer (Principal Financial and Accounting</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Officer)</w:t>
            </w:r>
          </w:p>
        </w:tc>
      </w:tr>
      <w:tr>
        <w:trPr>
          <w:trHeight w:val="432"/>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FERRELLGAS PARTNERS FINANCE CORP.</w:t>
            </w:r>
          </w:p>
        </w:tc>
      </w:tr>
      <w:tr>
        <w:trPr>
          <w:trHeight w:val="288"/>
        </w:trPr>
        <w:tc>
          <w:tcPr>
            <w:tcW w:w="460" w:type="dxa"/>
            <w:vAlign w:val="bottom"/>
          </w:tcPr>
          <w:p>
            <w:pPr>
              <w:ind w:left="40"/>
              <w:spacing w:after="0"/>
              <w:rPr>
                <w:sz w:val="20"/>
                <w:szCs w:val="20"/>
                <w:color w:val="auto"/>
              </w:rPr>
            </w:pPr>
            <w:r>
              <w:rPr>
                <w:rFonts w:ascii="Arial" w:cs="Arial" w:eastAsia="Arial" w:hAnsi="Arial"/>
                <w:sz w:val="12"/>
                <w:szCs w:val="12"/>
                <w:color w:val="auto"/>
              </w:rPr>
              <w:t>Date:</w:t>
            </w:r>
          </w:p>
        </w:tc>
        <w:tc>
          <w:tcPr>
            <w:tcW w:w="2380" w:type="dxa"/>
            <w:vAlign w:val="bottom"/>
          </w:tcPr>
          <w:p>
            <w:pPr>
              <w:ind w:left="140"/>
              <w:spacing w:after="0"/>
              <w:rPr>
                <w:sz w:val="20"/>
                <w:szCs w:val="20"/>
                <w:color w:val="auto"/>
              </w:rPr>
            </w:pPr>
            <w:r>
              <w:rPr>
                <w:rFonts w:ascii="Arial" w:cs="Arial" w:eastAsia="Arial" w:hAnsi="Arial"/>
                <w:sz w:val="12"/>
                <w:szCs w:val="12"/>
                <w:color w:val="auto"/>
              </w:rPr>
              <w:t>June 14, 2021</w:t>
            </w:r>
          </w:p>
        </w:tc>
        <w:tc>
          <w:tcPr>
            <w:tcW w:w="2020" w:type="dxa"/>
            <w:vAlign w:val="bottom"/>
          </w:tcPr>
          <w:p>
            <w:pPr>
              <w:ind w:left="168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423"/>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FERRELLGAS, L.P.</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By Ferrellgas, Inc., its general partner</w:t>
            </w:r>
          </w:p>
        </w:tc>
      </w:tr>
      <w:tr>
        <w:trPr>
          <w:trHeight w:val="288"/>
        </w:trPr>
        <w:tc>
          <w:tcPr>
            <w:tcW w:w="460" w:type="dxa"/>
            <w:vAlign w:val="bottom"/>
          </w:tcPr>
          <w:p>
            <w:pPr>
              <w:ind w:left="40"/>
              <w:spacing w:after="0"/>
              <w:rPr>
                <w:sz w:val="20"/>
                <w:szCs w:val="20"/>
                <w:color w:val="auto"/>
              </w:rPr>
            </w:pPr>
            <w:r>
              <w:rPr>
                <w:rFonts w:ascii="Arial" w:cs="Arial" w:eastAsia="Arial" w:hAnsi="Arial"/>
                <w:sz w:val="12"/>
                <w:szCs w:val="12"/>
                <w:color w:val="auto"/>
              </w:rPr>
              <w:t>Date:</w:t>
            </w:r>
          </w:p>
        </w:tc>
        <w:tc>
          <w:tcPr>
            <w:tcW w:w="2380" w:type="dxa"/>
            <w:vAlign w:val="bottom"/>
          </w:tcPr>
          <w:p>
            <w:pPr>
              <w:ind w:left="140"/>
              <w:spacing w:after="0"/>
              <w:rPr>
                <w:sz w:val="20"/>
                <w:szCs w:val="20"/>
                <w:color w:val="auto"/>
              </w:rPr>
            </w:pPr>
            <w:r>
              <w:rPr>
                <w:rFonts w:ascii="Arial" w:cs="Arial" w:eastAsia="Arial" w:hAnsi="Arial"/>
                <w:sz w:val="12"/>
                <w:szCs w:val="12"/>
                <w:color w:val="auto"/>
              </w:rPr>
              <w:t>June 14, 2021</w:t>
            </w:r>
          </w:p>
        </w:tc>
        <w:tc>
          <w:tcPr>
            <w:tcW w:w="2020" w:type="dxa"/>
            <w:vAlign w:val="bottom"/>
          </w:tcPr>
          <w:p>
            <w:pPr>
              <w:ind w:left="168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44"/>
        </w:trPr>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Interim Chief Financial Officer; Treasurer (Principal Financial and Accounting</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Officer)</w:t>
            </w:r>
          </w:p>
        </w:tc>
      </w:tr>
      <w:tr>
        <w:trPr>
          <w:trHeight w:val="432"/>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20" w:type="dxa"/>
            <w:vAlign w:val="bottom"/>
            <w:gridSpan w:val="2"/>
          </w:tcPr>
          <w:p>
            <w:pPr>
              <w:ind w:left="1680"/>
              <w:spacing w:after="0"/>
              <w:rPr>
                <w:sz w:val="20"/>
                <w:szCs w:val="20"/>
                <w:color w:val="auto"/>
              </w:rPr>
            </w:pPr>
            <w:r>
              <w:rPr>
                <w:rFonts w:ascii="Arial" w:cs="Arial" w:eastAsia="Arial" w:hAnsi="Arial"/>
                <w:sz w:val="12"/>
                <w:szCs w:val="12"/>
                <w:color w:val="auto"/>
              </w:rPr>
              <w:t>FERRELLGAS FINANCE CORP.</w:t>
            </w:r>
          </w:p>
        </w:tc>
      </w:tr>
      <w:tr>
        <w:trPr>
          <w:trHeight w:val="288"/>
        </w:trPr>
        <w:tc>
          <w:tcPr>
            <w:tcW w:w="460" w:type="dxa"/>
            <w:vAlign w:val="bottom"/>
          </w:tcPr>
          <w:p>
            <w:pPr>
              <w:ind w:left="40"/>
              <w:spacing w:after="0"/>
              <w:rPr>
                <w:sz w:val="20"/>
                <w:szCs w:val="20"/>
                <w:color w:val="auto"/>
              </w:rPr>
            </w:pPr>
            <w:r>
              <w:rPr>
                <w:rFonts w:ascii="Arial" w:cs="Arial" w:eastAsia="Arial" w:hAnsi="Arial"/>
                <w:sz w:val="12"/>
                <w:szCs w:val="12"/>
                <w:color w:val="auto"/>
              </w:rPr>
              <w:t>Date:</w:t>
            </w:r>
          </w:p>
        </w:tc>
        <w:tc>
          <w:tcPr>
            <w:tcW w:w="2380" w:type="dxa"/>
            <w:vAlign w:val="bottom"/>
          </w:tcPr>
          <w:p>
            <w:pPr>
              <w:ind w:left="140"/>
              <w:spacing w:after="0"/>
              <w:rPr>
                <w:sz w:val="20"/>
                <w:szCs w:val="20"/>
                <w:color w:val="auto"/>
              </w:rPr>
            </w:pPr>
            <w:r>
              <w:rPr>
                <w:rFonts w:ascii="Arial" w:cs="Arial" w:eastAsia="Arial" w:hAnsi="Arial"/>
                <w:sz w:val="12"/>
                <w:szCs w:val="12"/>
                <w:color w:val="auto"/>
              </w:rPr>
              <w:t>June 14, 2021</w:t>
            </w:r>
          </w:p>
        </w:tc>
        <w:tc>
          <w:tcPr>
            <w:tcW w:w="2020" w:type="dxa"/>
            <w:vAlign w:val="bottom"/>
          </w:tcPr>
          <w:p>
            <w:pPr>
              <w:ind w:left="168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621"/>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20" w:type="dxa"/>
            <w:vAlign w:val="bottom"/>
          </w:tcPr>
          <w:p>
            <w:pPr>
              <w:ind w:left="1560"/>
              <w:spacing w:after="0"/>
              <w:rPr>
                <w:sz w:val="20"/>
                <w:szCs w:val="20"/>
                <w:color w:val="auto"/>
              </w:rPr>
            </w:pPr>
            <w:r>
              <w:rPr>
                <w:rFonts w:ascii="Arial" w:cs="Arial" w:eastAsia="Arial" w:hAnsi="Arial"/>
                <w:sz w:val="12"/>
                <w:szCs w:val="12"/>
                <w:color w:val="auto"/>
              </w:rPr>
              <w:t>104</w:t>
            </w:r>
          </w:p>
        </w:tc>
        <w:tc>
          <w:tcPr>
            <w:tcW w:w="4100" w:type="dxa"/>
            <w:vAlign w:val="bottom"/>
          </w:tcPr>
          <w:p>
            <w:pPr>
              <w:spacing w:after="0"/>
              <w:rPr>
                <w:sz w:val="24"/>
                <w:szCs w:val="24"/>
                <w:color w:val="auto"/>
              </w:rPr>
            </w:pPr>
          </w:p>
        </w:tc>
      </w:tr>
      <w:tr>
        <w:trPr>
          <w:trHeight w:val="367"/>
        </w:trPr>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Exhibit 10.29</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FIRST AMENDMENT TO CREDIT AGREEMENT</w:t>
      </w:r>
    </w:p>
    <w:p>
      <w:pPr>
        <w:spacing w:after="0" w:line="148"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FIRST AMENDMENT TO CREDIT AGREEMENT</w:t>
      </w:r>
      <w:r>
        <w:rPr>
          <w:rFonts w:ascii="Arial" w:cs="Arial" w:eastAsia="Arial" w:hAnsi="Arial"/>
          <w:sz w:val="13"/>
          <w:szCs w:val="13"/>
          <w:color w:val="auto"/>
        </w:rPr>
        <w:t xml:space="preserve"> (this “</w:t>
      </w:r>
      <w:r>
        <w:rPr>
          <w:rFonts w:ascii="Arial" w:cs="Arial" w:eastAsia="Arial" w:hAnsi="Arial"/>
          <w:sz w:val="13"/>
          <w:szCs w:val="13"/>
          <w:b w:val="1"/>
          <w:bCs w:val="1"/>
          <w:i w:val="1"/>
          <w:iCs w:val="1"/>
          <w:color w:val="auto"/>
        </w:rPr>
        <w:t>Amendment</w:t>
      </w:r>
      <w:r>
        <w:rPr>
          <w:rFonts w:ascii="Arial" w:cs="Arial" w:eastAsia="Arial" w:hAnsi="Arial"/>
          <w:sz w:val="13"/>
          <w:szCs w:val="13"/>
          <w:color w:val="auto"/>
        </w:rPr>
        <w:t xml:space="preserve">”) is entered into as of June 11, 2021 (with an effective date of April 30, 2021) </w:t>
      </w:r>
      <w:r>
        <w:rPr>
          <w:rFonts w:ascii="Arial" w:cs="Arial" w:eastAsia="Arial" w:hAnsi="Arial"/>
          <w:sz w:val="13"/>
          <w:szCs w:val="13"/>
          <w:color w:val="231F20"/>
        </w:rPr>
        <w:t>by and among</w:t>
      </w:r>
      <w:r>
        <w:rPr>
          <w:rFonts w:ascii="Arial" w:cs="Arial" w:eastAsia="Arial" w:hAnsi="Arial"/>
          <w:sz w:val="13"/>
          <w:szCs w:val="13"/>
          <w:color w:val="auto"/>
        </w:rPr>
        <w:t xml:space="preserve"> </w:t>
      </w:r>
      <w:r>
        <w:rPr>
          <w:rFonts w:ascii="Arial" w:cs="Arial" w:eastAsia="Arial" w:hAnsi="Arial"/>
          <w:sz w:val="13"/>
          <w:szCs w:val="13"/>
          <w:color w:val="231F20"/>
        </w:rPr>
        <w:t>Ferrellgas, L.P., a Delaware limited partnership (“</w:t>
      </w:r>
      <w:r>
        <w:rPr>
          <w:rFonts w:ascii="Arial" w:cs="Arial" w:eastAsia="Arial" w:hAnsi="Arial"/>
          <w:sz w:val="13"/>
          <w:szCs w:val="13"/>
          <w:b w:val="1"/>
          <w:bCs w:val="1"/>
          <w:i w:val="1"/>
          <w:iCs w:val="1"/>
          <w:color w:val="231F20"/>
        </w:rPr>
        <w:t>Company</w:t>
      </w:r>
      <w:r>
        <w:rPr>
          <w:rFonts w:ascii="Arial" w:cs="Arial" w:eastAsia="Arial" w:hAnsi="Arial"/>
          <w:sz w:val="13"/>
          <w:szCs w:val="13"/>
          <w:color w:val="231F20"/>
        </w:rPr>
        <w:t>”), the Lenders and Issuing Lenders from time to time party hereto and JPMorgan Chase Bank, N.A., as administrative agent and collateral agent for the Lenders (in such capacity, the “</w:t>
      </w:r>
      <w:r>
        <w:rPr>
          <w:rFonts w:ascii="Arial" w:cs="Arial" w:eastAsia="Arial" w:hAnsi="Arial"/>
          <w:sz w:val="13"/>
          <w:szCs w:val="13"/>
          <w:b w:val="1"/>
          <w:bCs w:val="1"/>
          <w:i w:val="1"/>
          <w:iCs w:val="1"/>
          <w:color w:val="231F20"/>
        </w:rPr>
        <w:t>Agent</w:t>
      </w:r>
      <w:r>
        <w:rPr>
          <w:rFonts w:ascii="Arial" w:cs="Arial" w:eastAsia="Arial" w:hAnsi="Arial"/>
          <w:sz w:val="13"/>
          <w:szCs w:val="13"/>
          <w:color w:val="231F20"/>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 E C I T A L S</w:t>
      </w:r>
    </w:p>
    <w:p>
      <w:pPr>
        <w:spacing w:after="0" w:line="152" w:lineRule="exact"/>
        <w:rPr>
          <w:sz w:val="20"/>
          <w:szCs w:val="20"/>
          <w:color w:val="auto"/>
        </w:rPr>
      </w:pPr>
    </w:p>
    <w:p>
      <w:pPr>
        <w:ind w:right="20" w:firstLine="429"/>
        <w:spacing w:after="0" w:line="271" w:lineRule="auto"/>
        <w:tabs>
          <w:tab w:leader="none" w:pos="864"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Company, the Agent, the Lenders and the Issuing Lenders are parties to that certain Credit Agreement dated as of March 30, 2021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pursuant to which the Lenders and Issuing Lenders have made certain credit available to and on behalf of the Company.</w:t>
      </w:r>
    </w:p>
    <w:p>
      <w:pPr>
        <w:spacing w:after="0" w:line="112" w:lineRule="exact"/>
        <w:rPr>
          <w:rFonts w:ascii="Arial" w:cs="Arial" w:eastAsia="Arial" w:hAnsi="Arial"/>
          <w:sz w:val="13"/>
          <w:szCs w:val="13"/>
          <w:color w:val="auto"/>
        </w:rPr>
      </w:pPr>
    </w:p>
    <w:p>
      <w:pPr>
        <w:jc w:val="both"/>
        <w:ind w:firstLine="429"/>
        <w:spacing w:after="0" w:line="271" w:lineRule="auto"/>
        <w:tabs>
          <w:tab w:leader="none" w:pos="864"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Company has requested that Lenders constituting the Required Lenders waive compliance with (i) Section 6.7(a) for the Fiscal Quarter ending April 30, 2021, with respect to the requirement that the Company not permit the Minimum Interest Coverage Ratio as of the last day of such Fiscal Quarter to be less than 2.50:1:0, (ii) any requirement that the Company represent that Schedule 4.12 attached to the Credit Agreement as of the Closing Date set forth a complete and accurate list as of the Closing Date of all (A) Material Real Estate Assets and (B) material leases, subleases or assignments of leases (together with all amendments, modifications, supplements, renewals or extensions of any thereof) affecting the Real Estate Assets of any Loan Party, regardless of whether such Loan Party is the landlord or tenant (whether directly or as an assignee or successor in interest) under such lease, sublease or assignment, in each case during the period beginning on the Closing Date and ending as of the date immediately prior to the Satisfaction Date (as defined in Section 4 below) (the “</w:t>
      </w:r>
      <w:r>
        <w:rPr>
          <w:rFonts w:ascii="Arial" w:cs="Arial" w:eastAsia="Arial" w:hAnsi="Arial"/>
          <w:sz w:val="12"/>
          <w:szCs w:val="12"/>
          <w:u w:val="single" w:color="auto"/>
          <w:color w:val="auto"/>
        </w:rPr>
        <w:t>Schedule 4.12 Representation Requirement</w:t>
      </w:r>
      <w:r>
        <w:rPr>
          <w:rFonts w:ascii="Arial" w:cs="Arial" w:eastAsia="Arial" w:hAnsi="Arial"/>
          <w:sz w:val="12"/>
          <w:szCs w:val="12"/>
          <w:color w:val="auto"/>
        </w:rPr>
        <w:t>”) and (iii) any requirement that the Company represent that Schedule 4.29 attached to the Credit Agreement as of the Closing Date set forth a complete and accurate list as of the Closing Date of all deposit, checking and other bank accounts, commodity accounts and all securities and other accounts maintained with any broker dealer and all other similar accounts maintained by each Loan Party, together with a description thereof, during the period beginning on the Closing Date and ending as of the date immediately prior to the Satisfaction Date (the “</w:t>
      </w:r>
      <w:r>
        <w:rPr>
          <w:rFonts w:ascii="Arial" w:cs="Arial" w:eastAsia="Arial" w:hAnsi="Arial"/>
          <w:sz w:val="12"/>
          <w:szCs w:val="12"/>
          <w:u w:val="single" w:color="auto"/>
          <w:color w:val="auto"/>
        </w:rPr>
        <w:t>Schedule 4.29 Representation Requirement</w:t>
      </w:r>
      <w:r>
        <w:rPr>
          <w:rFonts w:ascii="Arial" w:cs="Arial" w:eastAsia="Arial" w:hAnsi="Arial"/>
          <w:sz w:val="12"/>
          <w:szCs w:val="12"/>
          <w:color w:val="auto"/>
        </w:rPr>
        <w:t>”).</w:t>
      </w:r>
    </w:p>
    <w:p>
      <w:pPr>
        <w:spacing w:after="0" w:line="115" w:lineRule="exact"/>
        <w:rPr>
          <w:rFonts w:ascii="Arial" w:cs="Arial" w:eastAsia="Arial" w:hAnsi="Arial"/>
          <w:sz w:val="12"/>
          <w:szCs w:val="12"/>
          <w:color w:val="auto"/>
        </w:rPr>
      </w:pPr>
    </w:p>
    <w:p>
      <w:pPr>
        <w:ind w:left="860" w:hanging="431"/>
        <w:spacing w:after="0"/>
        <w:tabs>
          <w:tab w:leader="none" w:pos="8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Company has requested and the Agent and Lenders constituting the Required Lenders have agreed to make certain changes to the Credit Agreement as set forth herein.</w:t>
      </w:r>
    </w:p>
    <w:p>
      <w:pPr>
        <w:spacing w:after="0" w:line="17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NOW, THEREFORE, to induce the Agent and the Lenders party hereto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12"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010000"/>
        </w:rPr>
        <w:t xml:space="preserve">Section 1. </w:t>
      </w:r>
      <w:r>
        <w:rPr>
          <w:rFonts w:ascii="Arial" w:cs="Arial" w:eastAsia="Arial" w:hAnsi="Arial"/>
          <w:sz w:val="13"/>
          <w:szCs w:val="13"/>
          <w:u w:val="single" w:color="auto"/>
          <w:color w:val="000000"/>
        </w:rPr>
        <w:t>Defined Terms</w:t>
      </w:r>
      <w:r>
        <w:rPr>
          <w:rFonts w:ascii="Arial" w:cs="Arial" w:eastAsia="Arial" w:hAnsi="Arial"/>
          <w:sz w:val="13"/>
          <w:szCs w:val="13"/>
          <w:color w:val="000000"/>
        </w:rPr>
        <w:t>. Each capitalized term used herein but not otherwise defined herein has the meaning given to such term in the Credit Agreement, as amended by</w:t>
      </w:r>
      <w:r>
        <w:rPr>
          <w:rFonts w:ascii="Arial" w:cs="Arial" w:eastAsia="Arial" w:hAnsi="Arial"/>
          <w:sz w:val="13"/>
          <w:szCs w:val="13"/>
          <w:color w:val="010000"/>
        </w:rPr>
        <w:t xml:space="preserve"> </w:t>
      </w:r>
      <w:r>
        <w:rPr>
          <w:rFonts w:ascii="Arial" w:cs="Arial" w:eastAsia="Arial" w:hAnsi="Arial"/>
          <w:sz w:val="13"/>
          <w:szCs w:val="13"/>
          <w:color w:val="000000"/>
        </w:rPr>
        <w:t>this Amendment. Unless otherwise indicated, all article, exhibit, section and schedule references in this Amendment refer to articles, exhibits, sections and schedules of the Credit Agreement.</w:t>
      </w:r>
    </w:p>
    <w:p>
      <w:pPr>
        <w:spacing w:after="0" w:line="12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3"/>
          <w:szCs w:val="13"/>
          <w:color w:val="010000"/>
        </w:rPr>
        <w:t>Section 2.</w:t>
      </w:r>
      <w:r>
        <w:rPr>
          <w:sz w:val="20"/>
          <w:szCs w:val="20"/>
          <w:color w:val="auto"/>
        </w:rPr>
        <w:tab/>
      </w:r>
      <w:r>
        <w:rPr>
          <w:rFonts w:ascii="Arial" w:cs="Arial" w:eastAsia="Arial" w:hAnsi="Arial"/>
          <w:sz w:val="12"/>
          <w:szCs w:val="12"/>
          <w:u w:val="single" w:color="auto"/>
          <w:color w:val="auto"/>
        </w:rPr>
        <w:t>Amendments to Credit Agreement</w:t>
      </w:r>
      <w:r>
        <w:rPr>
          <w:rFonts w:ascii="Arial" w:cs="Arial" w:eastAsia="Arial" w:hAnsi="Arial"/>
          <w:sz w:val="12"/>
          <w:szCs w:val="12"/>
          <w:color w:val="auto"/>
        </w:rPr>
        <w:t>. The Credit Agreement is hereby amended by:</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2.1. </w:t>
      </w:r>
      <w:r>
        <w:rPr>
          <w:rFonts w:ascii="Arial" w:cs="Arial" w:eastAsia="Arial" w:hAnsi="Arial"/>
          <w:sz w:val="13"/>
          <w:szCs w:val="13"/>
          <w:color w:val="000000"/>
        </w:rPr>
        <w:t>amending and restating the definitions of “</w:t>
      </w:r>
      <w:r>
        <w:rPr>
          <w:rFonts w:ascii="Arial" w:cs="Arial" w:eastAsia="Arial" w:hAnsi="Arial"/>
          <w:sz w:val="13"/>
          <w:szCs w:val="13"/>
          <w:b w:val="1"/>
          <w:bCs w:val="1"/>
          <w:i w:val="1"/>
          <w:iCs w:val="1"/>
          <w:color w:val="000000"/>
        </w:rPr>
        <w:t>Consolidated EBITDA</w:t>
      </w:r>
      <w:r>
        <w:rPr>
          <w:rFonts w:ascii="Arial" w:cs="Arial" w:eastAsia="Arial" w:hAnsi="Arial"/>
          <w:sz w:val="13"/>
          <w:szCs w:val="13"/>
          <w:color w:val="000000"/>
        </w:rPr>
        <w:t>”, “</w:t>
      </w:r>
      <w:r>
        <w:rPr>
          <w:rFonts w:ascii="Arial" w:cs="Arial" w:eastAsia="Arial" w:hAnsi="Arial"/>
          <w:sz w:val="13"/>
          <w:szCs w:val="13"/>
          <w:b w:val="1"/>
          <w:bCs w:val="1"/>
          <w:i w:val="1"/>
          <w:iCs w:val="1"/>
          <w:color w:val="000000"/>
        </w:rPr>
        <w:t>Consolidated Net Income</w:t>
      </w:r>
      <w:r>
        <w:rPr>
          <w:rFonts w:ascii="Arial" w:cs="Arial" w:eastAsia="Arial" w:hAnsi="Arial"/>
          <w:sz w:val="13"/>
          <w:szCs w:val="13"/>
          <w:color w:val="000000"/>
        </w:rPr>
        <w:t>” and “</w:t>
      </w:r>
      <w:r>
        <w:rPr>
          <w:rFonts w:ascii="Arial" w:cs="Arial" w:eastAsia="Arial" w:hAnsi="Arial"/>
          <w:sz w:val="13"/>
          <w:szCs w:val="13"/>
          <w:b w:val="1"/>
          <w:bCs w:val="1"/>
          <w:i w:val="1"/>
          <w:iCs w:val="1"/>
          <w:color w:val="000000"/>
        </w:rPr>
        <w:t>Minimum Interest Coverage Ratio</w:t>
      </w:r>
      <w:r>
        <w:rPr>
          <w:rFonts w:ascii="Arial" w:cs="Arial" w:eastAsia="Arial" w:hAnsi="Arial"/>
          <w:sz w:val="13"/>
          <w:szCs w:val="13"/>
          <w:color w:val="000000"/>
        </w:rPr>
        <w:t>” contained in Section 1.1 in their</w:t>
      </w:r>
      <w:r>
        <w:rPr>
          <w:rFonts w:ascii="Arial" w:cs="Arial" w:eastAsia="Arial" w:hAnsi="Arial"/>
          <w:sz w:val="13"/>
          <w:szCs w:val="13"/>
          <w:color w:val="010000"/>
        </w:rPr>
        <w:t xml:space="preserve"> </w:t>
      </w:r>
      <w:r>
        <w:rPr>
          <w:rFonts w:ascii="Arial" w:cs="Arial" w:eastAsia="Arial" w:hAnsi="Arial"/>
          <w:sz w:val="13"/>
          <w:szCs w:val="13"/>
          <w:color w:val="000000"/>
        </w:rPr>
        <w:t>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63322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105" w:name="page106"/>
    <w:bookmarkEnd w:id="105"/>
    <w:p>
      <w:pPr>
        <w:jc w:val="both"/>
        <w:ind w:firstLine="864"/>
        <w:spacing w:after="0" w:line="26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Consolidated EBITDA</w:t>
      </w:r>
      <w:r>
        <w:rPr>
          <w:rFonts w:ascii="Arial" w:cs="Arial" w:eastAsia="Arial" w:hAnsi="Arial"/>
          <w:sz w:val="12"/>
          <w:szCs w:val="12"/>
          <w:color w:val="auto"/>
        </w:rPr>
        <w:t xml:space="preserve">” means, with respect to any period, an amount equal to Consolidated Net Income of the Company and its Subsidiaries on a consolidated basis for such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(a) the following, to the extent deducted in calculating such Consolidated Net Income and in respect of such period: (i) any extraordinary non-cash loss, expenses related to the early extinguishment of Indebtedness, asset and goodwill impairment charges and any net losses realized in connection with an Asset Sale, (ii) non-recurring severance or restructuring cost (subject to an aggregate cap during any Fiscal Year of $5,000,000), (iii) litigation reserves, legal fees for related professional services, and costs for adverse results in legal proceedings (subject to an aggregate cap during the term of this Agreement of $15,000,000), (iv) any legal costs or similar transaction costs in connection with an acquisition, (v) the provision for Taxes based on income or profits of the Company and its Subsidiaries, (vi) the Consolidated Interest Charges for such period, whether paid or accrued (including amortization of original issue discount, non-cash interest payments and the interest component of any payments associated with Attributable Indebtedness in respect of Capital Leases and net payments (if any) pursuant to Hedging Agreements in respect of interest rates), (vii) the depreciation and amortization charges (including amortization of other intangibles but excluding amortization of prepaid cash expenses that were paid in a prior period), and (viii) other non-recurring expenses reducing such Consolidated Net Income which do not represent a cash item in such period or any future period (including those related to dispositions and those resulting from the requirements of SFAS 133),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to the extent deducted in calculating such Consolidated Net Income, non-cash employee compensation expenses of the Company and its Subsidiaries during such period,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(c) to the extent included in calculating such Consolidated Net Income, all non-cash items increasing Consolidated Net Income (including those related to Dispositions, from the cancellation, retirement, exchange or early extinguishment of Indebtedness and those resulting from the requirements of SFAS 133), in each case in this definition, of or by, the Company and its Subsidiaries for such period, without duplication on a consolidated basis and determined in accordance with GAAP.</w:t>
      </w:r>
    </w:p>
    <w:p>
      <w:pPr>
        <w:spacing w:after="0" w:line="12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Consolidated Net Income</w:t>
      </w:r>
      <w:r>
        <w:rPr>
          <w:rFonts w:ascii="Arial" w:cs="Arial" w:eastAsia="Arial" w:hAnsi="Arial"/>
          <w:sz w:val="12"/>
          <w:szCs w:val="12"/>
          <w:color w:val="auto"/>
        </w:rPr>
        <w:t xml:space="preserve">” means, with respect to any period, the net income (or loss) of the Company and its Subsidiaries on a consolidated basis for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Consolidated Net Income shall exclude (a) extraordinary gains (or losses) for such period, (b) the net income of any Subsidiary during such period to the extent that the declaration or payment of dividends or similar distributions by such Subsidiary of such income is not permitted by operation of the terms of its Organizational Documents or any agreement, instrument or law applicable to such Subsidiary during such period, except that the Company’s equity in any net loss of any such Subsidiary for such period shall be included in determining Consolidated Net Income, and (c)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from income generated by such Person (and in the case of a dividend or other distribution to a Subsidiary, such Subsidiary is not precluded from further distributing such amount to the Company as described in clause (b) of this proviso);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Consolidated Net Income shall exclude the cumulative effect of a change in accounting principles and unrealized gains and losses from derivatives.</w:t>
      </w:r>
    </w:p>
    <w:p>
      <w:pPr>
        <w:spacing w:after="0" w:line="113"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Minimum Interest Coverage Ratio</w:t>
      </w:r>
      <w:r>
        <w:rPr>
          <w:rFonts w:ascii="Arial" w:cs="Arial" w:eastAsia="Arial" w:hAnsi="Arial"/>
          <w:sz w:val="12"/>
          <w:szCs w:val="12"/>
          <w:color w:val="auto"/>
        </w:rPr>
        <w:t xml:space="preserve">” means the ratio, as of the last day of any Fiscal Quarter or other date of determination, of (a) Consolidated EBITDA to (b) Consolidated Cash Interest Charges, in each case for the Measurement Period ending on such date (or if such date of determination is not the last day of a Fiscal Quarter, for the four-Fiscal Quarters period ending as of the most recently concluded Fiscal Quarter); </w:t>
      </w:r>
      <w:r>
        <w:rPr>
          <w:rFonts w:ascii="Arial" w:cs="Arial" w:eastAsia="Arial" w:hAnsi="Arial"/>
          <w:sz w:val="12"/>
          <w:szCs w:val="12"/>
          <w:u w:val="single" w:color="auto"/>
          <w:color w:val="auto"/>
        </w:rPr>
        <w:t>provided</w:t>
      </w:r>
      <w:r>
        <w:rPr>
          <w:rFonts w:ascii="Arial" w:cs="Arial" w:eastAsia="Arial" w:hAnsi="Arial"/>
          <w:sz w:val="12"/>
          <w:szCs w:val="12"/>
          <w:color w:val="auto"/>
        </w:rPr>
        <w:t>, that for purposes of calculating the Minimum Interest Coverage Ratio (i) for the Fiscal Quarter ending July 31, 2021, Consolidated Cash Interest Charges shall be equal to the Consolidated Cash Interest Charges for the quarter ending on such date multiplied by four (4), (ii) for the Fiscal Quarter ending October 31, 2021, Consolidated Cash Interest Charges shall be equal to the Consolidated Cash Interest Charges for the quarter ending on July 31, 2021 and the quarter ending on such date multiplied by two (2), and (iii) for the Fiscal Quarter ending January 31, 2022, Consolidated Cash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63322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8" w:right="959" w:bottom="1440" w:gutter="0" w:footer="0" w:header="0"/>
        </w:sectPr>
      </w:pPr>
    </w:p>
    <w:bookmarkStart w:id="106" w:name="page107"/>
    <w:bookmarkEnd w:id="106"/>
    <w:p>
      <w:pPr>
        <w:jc w:val="both"/>
        <w:ind w:right="20"/>
        <w:spacing w:after="0" w:line="273" w:lineRule="auto"/>
        <w:rPr>
          <w:sz w:val="20"/>
          <w:szCs w:val="20"/>
          <w:color w:val="auto"/>
        </w:rPr>
      </w:pPr>
      <w:r>
        <w:rPr>
          <w:rFonts w:ascii="Arial" w:cs="Arial" w:eastAsia="Arial" w:hAnsi="Arial"/>
          <w:sz w:val="13"/>
          <w:szCs w:val="13"/>
          <w:color w:val="auto"/>
        </w:rPr>
        <w:t>Interest Charges shall be equal to the Consolidated Cash Interest Charges for the quarter ending on July 31, 2021, the quarter ending on October 31, 2021 and the quarter ending on such date multiplied by 4/3.</w:t>
      </w:r>
    </w:p>
    <w:p>
      <w:pPr>
        <w:spacing w:after="0" w:line="11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2.2.</w:t>
      </w:r>
      <w:r>
        <w:rPr>
          <w:sz w:val="20"/>
          <w:szCs w:val="20"/>
          <w:color w:val="auto"/>
        </w:rPr>
        <w:tab/>
      </w:r>
      <w:r>
        <w:rPr>
          <w:rFonts w:ascii="Arial" w:cs="Arial" w:eastAsia="Arial" w:hAnsi="Arial"/>
          <w:sz w:val="12"/>
          <w:szCs w:val="12"/>
          <w:color w:val="auto"/>
        </w:rPr>
        <w:t>amending Section 1.1 to delete the defined term “</w:t>
      </w:r>
      <w:r>
        <w:rPr>
          <w:rFonts w:ascii="Arial" w:cs="Arial" w:eastAsia="Arial" w:hAnsi="Arial"/>
          <w:sz w:val="12"/>
          <w:szCs w:val="12"/>
          <w:b w:val="1"/>
          <w:bCs w:val="1"/>
          <w:i w:val="1"/>
          <w:iCs w:val="1"/>
          <w:color w:val="auto"/>
        </w:rPr>
        <w:t>Indemnified Liabilities</w:t>
      </w:r>
      <w:r>
        <w:rPr>
          <w:rFonts w:ascii="Arial" w:cs="Arial" w:eastAsia="Arial" w:hAnsi="Arial"/>
          <w:sz w:val="12"/>
          <w:szCs w:val="12"/>
          <w:color w:val="auto"/>
        </w:rPr>
        <w:t>” in its entirety.</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2.3. </w:t>
      </w:r>
      <w:r>
        <w:rPr>
          <w:rFonts w:ascii="Arial" w:cs="Arial" w:eastAsia="Arial" w:hAnsi="Arial"/>
          <w:sz w:val="13"/>
          <w:szCs w:val="13"/>
          <w:color w:val="000000"/>
        </w:rPr>
        <w:t>amending Section 1.1 to replace the defined term “</w:t>
      </w:r>
      <w:r>
        <w:rPr>
          <w:rFonts w:ascii="Arial" w:cs="Arial" w:eastAsia="Arial" w:hAnsi="Arial"/>
          <w:sz w:val="13"/>
          <w:szCs w:val="13"/>
          <w:b w:val="1"/>
          <w:bCs w:val="1"/>
          <w:i w:val="1"/>
          <w:iCs w:val="1"/>
          <w:color w:val="000000"/>
        </w:rPr>
        <w:t>Prior Facility Contingency Deposit Release</w:t>
      </w:r>
      <w:r>
        <w:rPr>
          <w:rFonts w:ascii="Arial" w:cs="Arial" w:eastAsia="Arial" w:hAnsi="Arial"/>
          <w:sz w:val="13"/>
          <w:szCs w:val="13"/>
          <w:color w:val="000000"/>
        </w:rPr>
        <w:t>” with the term “</w:t>
      </w:r>
      <w:r>
        <w:rPr>
          <w:rFonts w:ascii="Arial" w:cs="Arial" w:eastAsia="Arial" w:hAnsi="Arial"/>
          <w:sz w:val="13"/>
          <w:szCs w:val="13"/>
          <w:b w:val="1"/>
          <w:bCs w:val="1"/>
          <w:i w:val="1"/>
          <w:iCs w:val="1"/>
          <w:color w:val="000000"/>
        </w:rPr>
        <w:t>Prior Facility Contingent Deposit Release</w:t>
      </w:r>
      <w:r>
        <w:rPr>
          <w:rFonts w:ascii="Arial" w:cs="Arial" w:eastAsia="Arial" w:hAnsi="Arial"/>
          <w:sz w:val="13"/>
          <w:szCs w:val="13"/>
          <w:color w:val="000000"/>
        </w:rPr>
        <w:t>” and retaining</w:t>
      </w:r>
      <w:r>
        <w:rPr>
          <w:rFonts w:ascii="Arial" w:cs="Arial" w:eastAsia="Arial" w:hAnsi="Arial"/>
          <w:sz w:val="13"/>
          <w:szCs w:val="13"/>
          <w:color w:val="010000"/>
        </w:rPr>
        <w:t xml:space="preserve"> </w:t>
      </w:r>
      <w:r>
        <w:rPr>
          <w:rFonts w:ascii="Arial" w:cs="Arial" w:eastAsia="Arial" w:hAnsi="Arial"/>
          <w:sz w:val="13"/>
          <w:szCs w:val="13"/>
          <w:color w:val="000000"/>
        </w:rPr>
        <w:t>the definition thereof.</w:t>
      </w:r>
    </w:p>
    <w:p>
      <w:pPr>
        <w:spacing w:after="0" w:line="11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2.4.</w:t>
      </w:r>
      <w:r>
        <w:rPr>
          <w:sz w:val="20"/>
          <w:szCs w:val="20"/>
          <w:color w:val="auto"/>
        </w:rPr>
        <w:tab/>
      </w:r>
      <w:r>
        <w:rPr>
          <w:rFonts w:ascii="Arial" w:cs="Arial" w:eastAsia="Arial" w:hAnsi="Arial"/>
          <w:sz w:val="11"/>
          <w:szCs w:val="11"/>
          <w:color w:val="auto"/>
        </w:rPr>
        <w:t>amending Section 1.1 to delete the defined term “</w:t>
      </w:r>
      <w:r>
        <w:rPr>
          <w:rFonts w:ascii="Arial" w:cs="Arial" w:eastAsia="Arial" w:hAnsi="Arial"/>
          <w:sz w:val="11"/>
          <w:szCs w:val="11"/>
          <w:b w:val="1"/>
          <w:bCs w:val="1"/>
          <w:i w:val="1"/>
          <w:iCs w:val="1"/>
          <w:color w:val="auto"/>
        </w:rPr>
        <w:t>Transaction Costs</w:t>
      </w:r>
      <w:r>
        <w:rPr>
          <w:rFonts w:ascii="Arial" w:cs="Arial" w:eastAsia="Arial" w:hAnsi="Arial"/>
          <w:sz w:val="11"/>
          <w:szCs w:val="11"/>
          <w:color w:val="auto"/>
        </w:rPr>
        <w:t>” in its entirety.</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2.5. </w:t>
      </w:r>
      <w:r>
        <w:rPr>
          <w:rFonts w:ascii="Arial" w:cs="Arial" w:eastAsia="Arial" w:hAnsi="Arial"/>
          <w:sz w:val="13"/>
          <w:szCs w:val="13"/>
          <w:color w:val="000000"/>
        </w:rPr>
        <w:t>amending the last paragraph of Section 2.9(a) to replace “monthly in arrears on the first Business Day of each month” with “quarterly in arrears on the First Business Day</w:t>
      </w:r>
      <w:r>
        <w:rPr>
          <w:rFonts w:ascii="Arial" w:cs="Arial" w:eastAsia="Arial" w:hAnsi="Arial"/>
          <w:sz w:val="13"/>
          <w:szCs w:val="13"/>
          <w:color w:val="010000"/>
        </w:rPr>
        <w:t xml:space="preserve"> </w:t>
      </w:r>
      <w:r>
        <w:rPr>
          <w:rFonts w:ascii="Arial" w:cs="Arial" w:eastAsia="Arial" w:hAnsi="Arial"/>
          <w:sz w:val="13"/>
          <w:szCs w:val="13"/>
          <w:color w:val="000000"/>
        </w:rPr>
        <w:t>of each quarter”</w:t>
      </w:r>
    </w:p>
    <w:p>
      <w:pPr>
        <w:spacing w:after="0" w:line="11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2.6.</w:t>
      </w:r>
      <w:r>
        <w:rPr>
          <w:sz w:val="20"/>
          <w:szCs w:val="20"/>
          <w:color w:val="auto"/>
        </w:rPr>
        <w:tab/>
      </w:r>
      <w:r>
        <w:rPr>
          <w:rFonts w:ascii="Arial" w:cs="Arial" w:eastAsia="Arial" w:hAnsi="Arial"/>
          <w:sz w:val="12"/>
          <w:szCs w:val="12"/>
          <w:color w:val="auto"/>
        </w:rPr>
        <w:t>amending Section 2.13(i) to replace each instance of “</w:t>
      </w:r>
      <w:r>
        <w:rPr>
          <w:rFonts w:ascii="Arial" w:cs="Arial" w:eastAsia="Arial" w:hAnsi="Arial"/>
          <w:sz w:val="12"/>
          <w:szCs w:val="12"/>
          <w:i w:val="1"/>
          <w:iCs w:val="1"/>
          <w:color w:val="auto"/>
        </w:rPr>
        <w:t>ninth</w:t>
      </w:r>
      <w:r>
        <w:rPr>
          <w:rFonts w:ascii="Arial" w:cs="Arial" w:eastAsia="Arial" w:hAnsi="Arial"/>
          <w:sz w:val="12"/>
          <w:szCs w:val="12"/>
          <w:color w:val="auto"/>
        </w:rPr>
        <w:t>” with “</w:t>
      </w:r>
      <w:r>
        <w:rPr>
          <w:rFonts w:ascii="Arial" w:cs="Arial" w:eastAsia="Arial" w:hAnsi="Arial"/>
          <w:sz w:val="12"/>
          <w:szCs w:val="12"/>
          <w:i w:val="1"/>
          <w:iCs w:val="1"/>
          <w:color w:val="auto"/>
        </w:rPr>
        <w:t>seventh</w:t>
      </w:r>
      <w:r>
        <w:rPr>
          <w:rFonts w:ascii="Arial" w:cs="Arial" w:eastAsia="Arial" w:hAnsi="Arial"/>
          <w:sz w:val="12"/>
          <w:szCs w:val="12"/>
          <w:color w:val="auto"/>
        </w:rPr>
        <w:t>”.</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2.7.</w:t>
      </w:r>
      <w:r>
        <w:rPr>
          <w:sz w:val="20"/>
          <w:szCs w:val="20"/>
          <w:color w:val="auto"/>
        </w:rPr>
        <w:tab/>
      </w:r>
      <w:r>
        <w:rPr>
          <w:rFonts w:ascii="Arial" w:cs="Arial" w:eastAsia="Arial" w:hAnsi="Arial"/>
          <w:sz w:val="12"/>
          <w:szCs w:val="12"/>
          <w:color w:val="auto"/>
        </w:rPr>
        <w:t>amending Section 5.1(b) to replace “of by Grant Thornton” with “by Grant Thornton”.</w:t>
      </w:r>
    </w:p>
    <w:p>
      <w:pPr>
        <w:spacing w:after="0" w:line="14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2"/>
          <w:szCs w:val="12"/>
          <w:color w:val="010000"/>
        </w:rPr>
        <w:t xml:space="preserve">2.8. </w:t>
      </w:r>
      <w:r>
        <w:rPr>
          <w:rFonts w:ascii="Arial" w:cs="Arial" w:eastAsia="Arial" w:hAnsi="Arial"/>
          <w:sz w:val="12"/>
          <w:szCs w:val="12"/>
          <w:color w:val="000000"/>
        </w:rPr>
        <w:t>amending the first sentence of Section 5.11 to add after the word “then” “, other than with respect to those Material Real Estate Assets for which the Agent in its sole</w:t>
      </w:r>
      <w:r>
        <w:rPr>
          <w:rFonts w:ascii="Arial" w:cs="Arial" w:eastAsia="Arial" w:hAnsi="Arial"/>
          <w:sz w:val="12"/>
          <w:szCs w:val="12"/>
          <w:color w:val="010000"/>
        </w:rPr>
        <w:t xml:space="preserve"> </w:t>
      </w:r>
      <w:r>
        <w:rPr>
          <w:rFonts w:ascii="Arial" w:cs="Arial" w:eastAsia="Arial" w:hAnsi="Arial"/>
          <w:sz w:val="12"/>
          <w:szCs w:val="12"/>
          <w:color w:val="000000"/>
        </w:rPr>
        <w:t>discretion determines that the burdens, costs or consequences of obtaining a mortgage are excessive in view of the benefits to be obtained by the Secured Parties (it being understood that, for the avoidance of doubt, the Agent may conclude that the burdens, costs or consequences of obtaining a mortgage on any Material Real Estate Asset having special flood or mud slide hazards (as determined by the Agent in its sole discretion) are excessive in view of the benefits to be obtained by the Secured Parties),”.</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2.9. </w:t>
      </w:r>
      <w:r>
        <w:rPr>
          <w:rFonts w:ascii="Arial" w:cs="Arial" w:eastAsia="Arial" w:hAnsi="Arial"/>
          <w:sz w:val="13"/>
          <w:szCs w:val="13"/>
          <w:color w:val="000000"/>
        </w:rPr>
        <w:t>amending the first sentence of Section 5.15(a) to add after the word “Asset” “, other than those Material Real Estate Assets for which the Agent in its sole discretion</w:t>
      </w:r>
      <w:r>
        <w:rPr>
          <w:rFonts w:ascii="Arial" w:cs="Arial" w:eastAsia="Arial" w:hAnsi="Arial"/>
          <w:sz w:val="13"/>
          <w:szCs w:val="13"/>
          <w:color w:val="010000"/>
        </w:rPr>
        <w:t xml:space="preserve"> </w:t>
      </w:r>
      <w:r>
        <w:rPr>
          <w:rFonts w:ascii="Arial" w:cs="Arial" w:eastAsia="Arial" w:hAnsi="Arial"/>
          <w:sz w:val="13"/>
          <w:szCs w:val="13"/>
          <w:color w:val="000000"/>
        </w:rPr>
        <w:t>determines that the burdens, costs or consequences of obtaining a mortgage are excessive in view of the benefits to be obtained by the Secured Parties (it being understood that, for the avoidance of doubt, the Agent may conclude that the burdens, costs or consequences of obtaining a mortgage on any Material Real Estate Asset having special flood or mud slide hazards (as determined by the Agent in its sole discretion) are excessive in view of the benefits to be obtained by the Secured Parties)”.</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2.10.</w:t>
      </w:r>
      <w:r>
        <w:rPr>
          <w:sz w:val="20"/>
          <w:szCs w:val="20"/>
          <w:color w:val="auto"/>
        </w:rPr>
        <w:tab/>
      </w:r>
      <w:r>
        <w:rPr>
          <w:rFonts w:ascii="Arial" w:cs="Arial" w:eastAsia="Arial" w:hAnsi="Arial"/>
          <w:sz w:val="12"/>
          <w:szCs w:val="12"/>
          <w:color w:val="auto"/>
        </w:rPr>
        <w:t>amending Section 5.15(a) to replace each instance of “ninety (90)” with “one hundred twenty (120)”.</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2.11.</w:t>
      </w:r>
      <w:r>
        <w:rPr>
          <w:sz w:val="20"/>
          <w:szCs w:val="20"/>
          <w:color w:val="auto"/>
        </w:rPr>
        <w:tab/>
      </w:r>
      <w:r>
        <w:rPr>
          <w:rFonts w:ascii="Arial" w:cs="Arial" w:eastAsia="Arial" w:hAnsi="Arial"/>
          <w:sz w:val="12"/>
          <w:szCs w:val="12"/>
          <w:color w:val="auto"/>
        </w:rPr>
        <w:t>amending Section 5.15(c) to replace “thirty (30)” with “ninety (90)”.</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2.12.</w:t>
      </w:r>
      <w:r>
        <w:rPr>
          <w:sz w:val="20"/>
          <w:szCs w:val="20"/>
          <w:color w:val="auto"/>
        </w:rPr>
        <w:tab/>
      </w:r>
      <w:r>
        <w:rPr>
          <w:rFonts w:ascii="Arial" w:cs="Arial" w:eastAsia="Arial" w:hAnsi="Arial"/>
          <w:sz w:val="12"/>
          <w:szCs w:val="12"/>
          <w:color w:val="auto"/>
        </w:rPr>
        <w:t>amending Section 6.7(c)(ii) to replace “1.0” with “1.0,”.</w:t>
      </w:r>
    </w:p>
    <w:p>
      <w:pPr>
        <w:spacing w:after="0" w:line="148"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3"/>
          <w:szCs w:val="13"/>
          <w:color w:val="010000"/>
        </w:rPr>
        <w:t>2.13.</w:t>
      </w:r>
      <w:r>
        <w:rPr>
          <w:sz w:val="20"/>
          <w:szCs w:val="20"/>
          <w:color w:val="auto"/>
        </w:rPr>
        <w:tab/>
      </w:r>
      <w:r>
        <w:rPr>
          <w:rFonts w:ascii="Arial" w:cs="Arial" w:eastAsia="Arial" w:hAnsi="Arial"/>
          <w:sz w:val="12"/>
          <w:szCs w:val="12"/>
          <w:color w:val="auto"/>
        </w:rPr>
        <w:t>amending Section 6.8(c) to replace “.” with “;”.</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2.14.</w:t>
      </w:r>
      <w:r>
        <w:rPr>
          <w:sz w:val="20"/>
          <w:szCs w:val="20"/>
          <w:color w:val="auto"/>
        </w:rPr>
        <w:tab/>
      </w:r>
      <w:r>
        <w:rPr>
          <w:rFonts w:ascii="Arial" w:cs="Arial" w:eastAsia="Arial" w:hAnsi="Arial"/>
          <w:sz w:val="12"/>
          <w:szCs w:val="12"/>
          <w:color w:val="auto"/>
        </w:rPr>
        <w:t>amending the first sentence of Section 9.3(c) to replace “shall not be deemed” with “shall be deemed”.</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2.15.</w:t>
      </w:r>
      <w:r>
        <w:rPr>
          <w:sz w:val="20"/>
          <w:szCs w:val="20"/>
          <w:color w:val="auto"/>
        </w:rPr>
        <w:tab/>
      </w:r>
      <w:r>
        <w:rPr>
          <w:rFonts w:ascii="Arial" w:cs="Arial" w:eastAsia="Arial" w:hAnsi="Arial"/>
          <w:sz w:val="12"/>
          <w:szCs w:val="12"/>
          <w:color w:val="auto"/>
        </w:rPr>
        <w:t>amending the last sentence of Section 10.4(e) to replace “</w:t>
      </w:r>
      <w:r>
        <w:rPr>
          <w:rFonts w:ascii="Arial" w:cs="Arial" w:eastAsia="Arial" w:hAnsi="Arial"/>
          <w:sz w:val="12"/>
          <w:szCs w:val="12"/>
          <w:u w:val="single" w:color="auto"/>
          <w:color w:val="auto"/>
        </w:rPr>
        <w:t>Section 10.5</w:t>
      </w:r>
      <w:r>
        <w:rPr>
          <w:rFonts w:ascii="Arial" w:cs="Arial" w:eastAsia="Arial" w:hAnsi="Arial"/>
          <w:sz w:val="12"/>
          <w:szCs w:val="12"/>
          <w:color w:val="auto"/>
        </w:rPr>
        <w:t>” with “</w:t>
      </w:r>
      <w:r>
        <w:rPr>
          <w:rFonts w:ascii="Arial" w:cs="Arial" w:eastAsia="Arial" w:hAnsi="Arial"/>
          <w:sz w:val="12"/>
          <w:szCs w:val="12"/>
          <w:u w:val="single" w:color="auto"/>
          <w:color w:val="auto"/>
        </w:rPr>
        <w:t>Section 10.4</w:t>
      </w:r>
      <w:r>
        <w:rPr>
          <w:rFonts w:ascii="Arial" w:cs="Arial" w:eastAsia="Arial" w:hAnsi="Arial"/>
          <w:sz w:val="12"/>
          <w:szCs w:val="12"/>
          <w:color w:val="auto"/>
        </w:rPr>
        <w:t>”.</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2.16. </w:t>
      </w:r>
      <w:r>
        <w:rPr>
          <w:rFonts w:ascii="Arial" w:cs="Arial" w:eastAsia="Arial" w:hAnsi="Arial"/>
          <w:sz w:val="13"/>
          <w:szCs w:val="13"/>
          <w:color w:val="000000"/>
        </w:rPr>
        <w:t>Schedule 4.12 is hereby amended to read as set forth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Schedule A</w:t>
      </w:r>
      <w:r>
        <w:rPr>
          <w:rFonts w:ascii="Arial" w:cs="Arial" w:eastAsia="Arial" w:hAnsi="Arial"/>
          <w:sz w:val="13"/>
          <w:szCs w:val="13"/>
          <w:color w:val="010000"/>
        </w:rPr>
        <w:t xml:space="preserve"> </w:t>
      </w:r>
      <w:r>
        <w:rPr>
          <w:rFonts w:ascii="Arial" w:cs="Arial" w:eastAsia="Arial" w:hAnsi="Arial"/>
          <w:sz w:val="13"/>
          <w:szCs w:val="13"/>
          <w:color w:val="000000"/>
        </w:rPr>
        <w:t>hereto and, as of the date hereof and going forward, Schedule 4.12 as amended by this</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2.10</w:t>
      </w:r>
      <w:r>
        <w:rPr>
          <w:rFonts w:ascii="Arial" w:cs="Arial" w:eastAsia="Arial" w:hAnsi="Arial"/>
          <w:sz w:val="13"/>
          <w:szCs w:val="13"/>
          <w:color w:val="010000"/>
        </w:rPr>
        <w:t xml:space="preserve"> </w:t>
      </w:r>
      <w:r>
        <w:rPr>
          <w:rFonts w:ascii="Arial" w:cs="Arial" w:eastAsia="Arial" w:hAnsi="Arial"/>
          <w:sz w:val="13"/>
          <w:szCs w:val="13"/>
          <w:color w:val="000000"/>
        </w:rPr>
        <w:t>hereof shall be deemed to have been attached to the Credit Agreement as of the Closing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63322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8" w:right="959" w:bottom="1440" w:gutter="0" w:footer="0" w:header="0"/>
        </w:sectPr>
      </w:pPr>
    </w:p>
    <w:bookmarkStart w:id="107" w:name="page108"/>
    <w:bookmarkEnd w:id="107"/>
    <w:p>
      <w:pPr>
        <w:jc w:val="both"/>
        <w:ind w:right="20" w:firstLine="432"/>
        <w:spacing w:after="0" w:line="273" w:lineRule="auto"/>
        <w:rPr>
          <w:sz w:val="20"/>
          <w:szCs w:val="20"/>
          <w:color w:val="auto"/>
        </w:rPr>
      </w:pPr>
      <w:r>
        <w:rPr>
          <w:rFonts w:ascii="Arial" w:cs="Arial" w:eastAsia="Arial" w:hAnsi="Arial"/>
          <w:sz w:val="13"/>
          <w:szCs w:val="13"/>
          <w:color w:val="010000"/>
        </w:rPr>
        <w:t xml:space="preserve">2.17. </w:t>
      </w:r>
      <w:r>
        <w:rPr>
          <w:rFonts w:ascii="Arial" w:cs="Arial" w:eastAsia="Arial" w:hAnsi="Arial"/>
          <w:sz w:val="13"/>
          <w:szCs w:val="13"/>
          <w:color w:val="000000"/>
        </w:rPr>
        <w:t>Schedule 4.29 is hereby amended to read as set forth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Schedule B</w:t>
      </w:r>
      <w:r>
        <w:rPr>
          <w:rFonts w:ascii="Arial" w:cs="Arial" w:eastAsia="Arial" w:hAnsi="Arial"/>
          <w:sz w:val="13"/>
          <w:szCs w:val="13"/>
          <w:color w:val="010000"/>
        </w:rPr>
        <w:t xml:space="preserve"> </w:t>
      </w:r>
      <w:r>
        <w:rPr>
          <w:rFonts w:ascii="Arial" w:cs="Arial" w:eastAsia="Arial" w:hAnsi="Arial"/>
          <w:sz w:val="13"/>
          <w:szCs w:val="13"/>
          <w:color w:val="000000"/>
        </w:rPr>
        <w:t>hereto and, as of the date hereof and going forward, Schedule 4.29 as amended by this</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2.11</w:t>
      </w:r>
      <w:r>
        <w:rPr>
          <w:rFonts w:ascii="Arial" w:cs="Arial" w:eastAsia="Arial" w:hAnsi="Arial"/>
          <w:sz w:val="13"/>
          <w:szCs w:val="13"/>
          <w:color w:val="010000"/>
        </w:rPr>
        <w:t xml:space="preserve"> </w:t>
      </w:r>
      <w:r>
        <w:rPr>
          <w:rFonts w:ascii="Arial" w:cs="Arial" w:eastAsia="Arial" w:hAnsi="Arial"/>
          <w:sz w:val="13"/>
          <w:szCs w:val="13"/>
          <w:color w:val="000000"/>
        </w:rPr>
        <w:t>hereof shall be deemed to have been attached to the Credit Agreement as of the Closing Date.</w:t>
      </w:r>
    </w:p>
    <w:p>
      <w:pPr>
        <w:spacing w:after="0" w:line="11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3"/>
          <w:szCs w:val="13"/>
          <w:color w:val="010000"/>
        </w:rPr>
        <w:t>Section 3.</w:t>
      </w:r>
      <w:r>
        <w:rPr>
          <w:sz w:val="20"/>
          <w:szCs w:val="20"/>
          <w:color w:val="auto"/>
        </w:rPr>
        <w:tab/>
      </w:r>
      <w:r>
        <w:rPr>
          <w:rFonts w:ascii="Arial" w:cs="Arial" w:eastAsia="Arial" w:hAnsi="Arial"/>
          <w:sz w:val="11"/>
          <w:szCs w:val="11"/>
          <w:u w:val="single" w:color="auto"/>
          <w:color w:val="auto"/>
        </w:rPr>
        <w:t>Waivers</w:t>
      </w:r>
      <w:r>
        <w:rPr>
          <w:rFonts w:ascii="Arial" w:cs="Arial" w:eastAsia="Arial" w:hAnsi="Arial"/>
          <w:sz w:val="11"/>
          <w:szCs w:val="11"/>
          <w:color w:val="auto"/>
        </w:rPr>
        <w:t>.</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3.1.</w:t>
      </w:r>
      <w:r>
        <w:rPr>
          <w:sz w:val="20"/>
          <w:szCs w:val="20"/>
          <w:color w:val="auto"/>
        </w:rPr>
        <w:tab/>
      </w:r>
      <w:r>
        <w:rPr>
          <w:rFonts w:ascii="Arial" w:cs="Arial" w:eastAsia="Arial" w:hAnsi="Arial"/>
          <w:sz w:val="12"/>
          <w:szCs w:val="12"/>
          <w:color w:val="auto"/>
        </w:rPr>
        <w:t>Solely with respect to the Fiscal Quarter ending April 30, 2021, the Agent and the Required Lenders party hereto hereby waive compliance with the provisions of Section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6.7(a) and any Default or Event of Default arising therefrom.</w:t>
      </w:r>
    </w:p>
    <w:p>
      <w:pPr>
        <w:spacing w:after="0" w:line="13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3.2. </w:t>
      </w:r>
      <w:r>
        <w:rPr>
          <w:rFonts w:ascii="Arial" w:cs="Arial" w:eastAsia="Arial" w:hAnsi="Arial"/>
          <w:sz w:val="13"/>
          <w:szCs w:val="13"/>
          <w:color w:val="000000"/>
        </w:rPr>
        <w:t>The Agent and the Required Lenders party hereto hereby waive compliance with the Schedule 4.12 Representation Requirement and any Default or Event of Default arising</w:t>
      </w:r>
      <w:r>
        <w:rPr>
          <w:rFonts w:ascii="Arial" w:cs="Arial" w:eastAsia="Arial" w:hAnsi="Arial"/>
          <w:sz w:val="13"/>
          <w:szCs w:val="13"/>
          <w:color w:val="010000"/>
        </w:rPr>
        <w:t xml:space="preserve"> </w:t>
      </w:r>
      <w:r>
        <w:rPr>
          <w:rFonts w:ascii="Arial" w:cs="Arial" w:eastAsia="Arial" w:hAnsi="Arial"/>
          <w:sz w:val="13"/>
          <w:szCs w:val="13"/>
          <w:color w:val="000000"/>
        </w:rPr>
        <w:t>therefrom.</w:t>
      </w:r>
    </w:p>
    <w:p>
      <w:pPr>
        <w:spacing w:after="0" w:line="112"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3.3. </w:t>
      </w:r>
      <w:r>
        <w:rPr>
          <w:rFonts w:ascii="Arial" w:cs="Arial" w:eastAsia="Arial" w:hAnsi="Arial"/>
          <w:sz w:val="13"/>
          <w:szCs w:val="13"/>
          <w:color w:val="000000"/>
        </w:rPr>
        <w:t>The Agent and the Required Lenders party hereto hereby waive compliance with the Schedule 4.29 Representation Requirement and any Default or Event of Default arising</w:t>
      </w:r>
      <w:r>
        <w:rPr>
          <w:rFonts w:ascii="Arial" w:cs="Arial" w:eastAsia="Arial" w:hAnsi="Arial"/>
          <w:sz w:val="13"/>
          <w:szCs w:val="13"/>
          <w:color w:val="010000"/>
        </w:rPr>
        <w:t xml:space="preserve"> </w:t>
      </w:r>
      <w:r>
        <w:rPr>
          <w:rFonts w:ascii="Arial" w:cs="Arial" w:eastAsia="Arial" w:hAnsi="Arial"/>
          <w:sz w:val="13"/>
          <w:szCs w:val="13"/>
          <w:color w:val="000000"/>
        </w:rPr>
        <w:t>therefrom.</w:t>
      </w:r>
    </w:p>
    <w:p>
      <w:pPr>
        <w:spacing w:after="0" w:line="112"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Section 4. </w:t>
      </w:r>
      <w:r>
        <w:rPr>
          <w:rFonts w:ascii="Arial" w:cs="Arial" w:eastAsia="Arial" w:hAnsi="Arial"/>
          <w:sz w:val="13"/>
          <w:szCs w:val="13"/>
          <w:u w:val="single" w:color="auto"/>
          <w:color w:val="000000"/>
        </w:rPr>
        <w:t>Conditions Precedent</w:t>
      </w:r>
      <w:r>
        <w:rPr>
          <w:rFonts w:ascii="Arial" w:cs="Arial" w:eastAsia="Arial" w:hAnsi="Arial"/>
          <w:sz w:val="13"/>
          <w:szCs w:val="13"/>
          <w:color w:val="000000"/>
        </w:rPr>
        <w:t>. Upon the date on which each of the following conditions is satisfied (or waived in accordance with Section 10.4) (such date, the</w:t>
      </w:r>
      <w:r>
        <w:rPr>
          <w:rFonts w:ascii="Arial" w:cs="Arial" w:eastAsia="Arial" w:hAnsi="Arial"/>
          <w:sz w:val="13"/>
          <w:szCs w:val="13"/>
          <w:color w:val="010000"/>
        </w:rPr>
        <w:t xml:space="preserve"> </w:t>
      </w:r>
      <w:r>
        <w:rPr>
          <w:rFonts w:ascii="Arial" w:cs="Arial" w:eastAsia="Arial" w:hAnsi="Arial"/>
          <w:sz w:val="13"/>
          <w:szCs w:val="13"/>
          <w:color w:val="000000"/>
        </w:rPr>
        <w:t>“</w:t>
      </w:r>
      <w:r>
        <w:rPr>
          <w:rFonts w:ascii="Arial" w:cs="Arial" w:eastAsia="Arial" w:hAnsi="Arial"/>
          <w:sz w:val="13"/>
          <w:szCs w:val="13"/>
          <w:b w:val="1"/>
          <w:bCs w:val="1"/>
          <w:i w:val="1"/>
          <w:iCs w:val="1"/>
          <w:color w:val="000000"/>
        </w:rPr>
        <w:t>Satisfaction Date</w:t>
      </w:r>
      <w:r>
        <w:rPr>
          <w:rFonts w:ascii="Arial" w:cs="Arial" w:eastAsia="Arial" w:hAnsi="Arial"/>
          <w:sz w:val="13"/>
          <w:szCs w:val="13"/>
          <w:color w:val="000000"/>
        </w:rPr>
        <w:t>”), this Amendment shall be deemed to have been effective as of April 30, 2021 (such date, the “</w:t>
      </w:r>
      <w:r>
        <w:rPr>
          <w:rFonts w:ascii="Arial" w:cs="Arial" w:eastAsia="Arial" w:hAnsi="Arial"/>
          <w:sz w:val="13"/>
          <w:szCs w:val="13"/>
          <w:b w:val="1"/>
          <w:bCs w:val="1"/>
          <w:i w:val="1"/>
          <w:iCs w:val="1"/>
          <w:color w:val="000000"/>
        </w:rPr>
        <w:t>First Amendment Effective Date</w:t>
      </w:r>
      <w:r>
        <w:rPr>
          <w:rFonts w:ascii="Arial" w:cs="Arial" w:eastAsia="Arial" w:hAnsi="Arial"/>
          <w:sz w:val="13"/>
          <w:szCs w:val="13"/>
          <w:color w:val="000000"/>
        </w:rPr>
        <w:t>”).</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4.1. </w:t>
      </w:r>
      <w:r>
        <w:rPr>
          <w:rFonts w:ascii="Arial" w:cs="Arial" w:eastAsia="Arial" w:hAnsi="Arial"/>
          <w:sz w:val="13"/>
          <w:szCs w:val="13"/>
          <w:u w:val="single" w:color="auto"/>
          <w:color w:val="000000"/>
        </w:rPr>
        <w:t>Execution and Delivery</w:t>
      </w:r>
      <w:r>
        <w:rPr>
          <w:rFonts w:ascii="Arial" w:cs="Arial" w:eastAsia="Arial" w:hAnsi="Arial"/>
          <w:sz w:val="13"/>
          <w:szCs w:val="13"/>
          <w:color w:val="000000"/>
        </w:rPr>
        <w:t>. The Agent shall have received from the Company and each Lender, counterparts (in such number as may be requested by the Agent) of this</w:t>
      </w:r>
      <w:r>
        <w:rPr>
          <w:rFonts w:ascii="Arial" w:cs="Arial" w:eastAsia="Arial" w:hAnsi="Arial"/>
          <w:sz w:val="13"/>
          <w:szCs w:val="13"/>
          <w:color w:val="010000"/>
        </w:rPr>
        <w:t xml:space="preserve"> </w:t>
      </w:r>
      <w:r>
        <w:rPr>
          <w:rFonts w:ascii="Arial" w:cs="Arial" w:eastAsia="Arial" w:hAnsi="Arial"/>
          <w:sz w:val="13"/>
          <w:szCs w:val="13"/>
          <w:color w:val="000000"/>
        </w:rPr>
        <w:t>Amendment signed on behalf of such Person.</w:t>
      </w:r>
    </w:p>
    <w:p>
      <w:pPr>
        <w:spacing w:after="0" w:line="112"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010000"/>
        </w:rPr>
        <w:t xml:space="preserve">4.2. </w:t>
      </w:r>
      <w:r>
        <w:rPr>
          <w:rFonts w:ascii="Arial" w:cs="Arial" w:eastAsia="Arial" w:hAnsi="Arial"/>
          <w:sz w:val="13"/>
          <w:szCs w:val="13"/>
          <w:u w:val="single" w:color="auto"/>
          <w:color w:val="000000"/>
        </w:rPr>
        <w:t>Payment of Expenses</w:t>
      </w:r>
      <w:r>
        <w:rPr>
          <w:rFonts w:ascii="Arial" w:cs="Arial" w:eastAsia="Arial" w:hAnsi="Arial"/>
          <w:sz w:val="13"/>
          <w:szCs w:val="13"/>
          <w:color w:val="000000"/>
        </w:rPr>
        <w:t>. The Agent and the Lenders shall have received all amounts due and payable on or prior to the Satisfaction Date, including, to the extent invoiced at</w:t>
      </w:r>
      <w:r>
        <w:rPr>
          <w:rFonts w:ascii="Arial" w:cs="Arial" w:eastAsia="Arial" w:hAnsi="Arial"/>
          <w:sz w:val="13"/>
          <w:szCs w:val="13"/>
          <w:color w:val="010000"/>
        </w:rPr>
        <w:t xml:space="preserve"> </w:t>
      </w:r>
      <w:r>
        <w:rPr>
          <w:rFonts w:ascii="Arial" w:cs="Arial" w:eastAsia="Arial" w:hAnsi="Arial"/>
          <w:sz w:val="13"/>
          <w:szCs w:val="13"/>
          <w:color w:val="000000"/>
        </w:rPr>
        <w:t>least one Business Day prior to the Satisfaction Date, reimbursement or payment of all reasonable and documented out-of-pocket expenses required to be reimbursed or paid by the Company under the Credit Agreement.</w:t>
      </w:r>
    </w:p>
    <w:p>
      <w:pPr>
        <w:spacing w:after="0" w:line="1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4.3. </w:t>
      </w:r>
      <w:r>
        <w:rPr>
          <w:rFonts w:ascii="Arial" w:cs="Arial" w:eastAsia="Arial" w:hAnsi="Arial"/>
          <w:sz w:val="13"/>
          <w:szCs w:val="13"/>
          <w:u w:val="single" w:color="auto"/>
          <w:color w:val="000000"/>
        </w:rPr>
        <w:t>No Default or Event of Default</w:t>
      </w:r>
      <w:r>
        <w:rPr>
          <w:rFonts w:ascii="Arial" w:cs="Arial" w:eastAsia="Arial" w:hAnsi="Arial"/>
          <w:sz w:val="13"/>
          <w:szCs w:val="13"/>
          <w:color w:val="000000"/>
        </w:rPr>
        <w:t>. No Default or Event of Default shall have occurred and be continuing as of the date hereof, after giving effect to the terms of this</w:t>
      </w:r>
      <w:r>
        <w:rPr>
          <w:rFonts w:ascii="Arial" w:cs="Arial" w:eastAsia="Arial" w:hAnsi="Arial"/>
          <w:sz w:val="13"/>
          <w:szCs w:val="13"/>
          <w:color w:val="010000"/>
        </w:rPr>
        <w:t xml:space="preserve"> </w:t>
      </w:r>
      <w:r>
        <w:rPr>
          <w:rFonts w:ascii="Arial" w:cs="Arial" w:eastAsia="Arial" w:hAnsi="Arial"/>
          <w:sz w:val="13"/>
          <w:szCs w:val="13"/>
          <w:color w:val="000000"/>
        </w:rPr>
        <w:t>Amendment.</w:t>
      </w:r>
    </w:p>
    <w:p>
      <w:pPr>
        <w:spacing w:after="0" w:line="112"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 xml:space="preserve">The Agent is hereby authorized and directed to declare this Amendment to be effective on the First Amendment Effective Date when the Agent has received documents confirming or certifying, to the satisfaction of the Agent, compliance with the conditions set forth in this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or the waiver of such conditions as permitted by Section 10.4. Such declaration shall be final, conclusive and binding upon all parties to the Credit Agreement for all purposes.</w:t>
      </w:r>
    </w:p>
    <w:p>
      <w:pPr>
        <w:spacing w:after="0" w:line="12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3"/>
          <w:szCs w:val="13"/>
          <w:color w:val="010000"/>
        </w:rPr>
        <w:t>Section 5.</w:t>
      </w:r>
      <w:r>
        <w:rPr>
          <w:sz w:val="20"/>
          <w:szCs w:val="20"/>
          <w:color w:val="auto"/>
        </w:rPr>
        <w:tab/>
      </w:r>
      <w:r>
        <w:rPr>
          <w:rFonts w:ascii="Arial" w:cs="Arial" w:eastAsia="Arial" w:hAnsi="Arial"/>
          <w:sz w:val="11"/>
          <w:szCs w:val="11"/>
          <w:u w:val="single" w:color="auto"/>
          <w:color w:val="auto"/>
        </w:rPr>
        <w:t>Miscellaneous</w:t>
      </w:r>
      <w:r>
        <w:rPr>
          <w:rFonts w:ascii="Arial" w:cs="Arial" w:eastAsia="Arial" w:hAnsi="Arial"/>
          <w:sz w:val="11"/>
          <w:szCs w:val="11"/>
          <w:color w:val="auto"/>
        </w:rPr>
        <w:t>.</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5.1. </w:t>
      </w:r>
      <w:r>
        <w:rPr>
          <w:rFonts w:ascii="Arial" w:cs="Arial" w:eastAsia="Arial" w:hAnsi="Arial"/>
          <w:sz w:val="13"/>
          <w:szCs w:val="13"/>
          <w:u w:val="single" w:color="auto"/>
          <w:color w:val="000000"/>
        </w:rPr>
        <w:t>Confirmation</w:t>
      </w:r>
      <w:r>
        <w:rPr>
          <w:rFonts w:ascii="Arial" w:cs="Arial" w:eastAsia="Arial" w:hAnsi="Arial"/>
          <w:sz w:val="13"/>
          <w:szCs w:val="13"/>
          <w:color w:val="000000"/>
        </w:rPr>
        <w:t>. The provisions of the Credit Agreement, as amended by this Amendment, shall remain in full force and effect following the effectiveness of this</w:t>
      </w:r>
      <w:r>
        <w:rPr>
          <w:rFonts w:ascii="Arial" w:cs="Arial" w:eastAsia="Arial" w:hAnsi="Arial"/>
          <w:sz w:val="13"/>
          <w:szCs w:val="13"/>
          <w:color w:val="010000"/>
        </w:rPr>
        <w:t xml:space="preserve"> </w:t>
      </w:r>
      <w:r>
        <w:rPr>
          <w:rFonts w:ascii="Arial" w:cs="Arial" w:eastAsia="Arial" w:hAnsi="Arial"/>
          <w:sz w:val="13"/>
          <w:szCs w:val="13"/>
          <w:color w:val="000000"/>
        </w:rPr>
        <w:t>Amendment.</w:t>
      </w:r>
    </w:p>
    <w:p>
      <w:pPr>
        <w:spacing w:after="0" w:line="11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010000"/>
        </w:rPr>
        <w:t xml:space="preserve">5.2. </w:t>
      </w:r>
      <w:r>
        <w:rPr>
          <w:rFonts w:ascii="Arial" w:cs="Arial" w:eastAsia="Arial" w:hAnsi="Arial"/>
          <w:sz w:val="12"/>
          <w:szCs w:val="12"/>
          <w:u w:val="single" w:color="auto"/>
          <w:color w:val="000000"/>
        </w:rPr>
        <w:t>Representations and Warranties</w:t>
      </w:r>
      <w:r>
        <w:rPr>
          <w:rFonts w:ascii="Arial" w:cs="Arial" w:eastAsia="Arial" w:hAnsi="Arial"/>
          <w:sz w:val="12"/>
          <w:szCs w:val="12"/>
          <w:color w:val="000000"/>
        </w:rPr>
        <w:t>. As of the date hereof, the representations and warranties contained herein and in each other Loan Document, certificate or other writing</w:t>
      </w:r>
      <w:r>
        <w:rPr>
          <w:rFonts w:ascii="Arial" w:cs="Arial" w:eastAsia="Arial" w:hAnsi="Arial"/>
          <w:sz w:val="12"/>
          <w:szCs w:val="12"/>
          <w:color w:val="010000"/>
        </w:rPr>
        <w:t xml:space="preserve"> </w:t>
      </w:r>
      <w:r>
        <w:rPr>
          <w:rFonts w:ascii="Arial" w:cs="Arial" w:eastAsia="Arial" w:hAnsi="Arial"/>
          <w:sz w:val="12"/>
          <w:szCs w:val="12"/>
          <w:color w:val="000000"/>
        </w:rPr>
        <w:t>delivered to the Agent or any Lender pursuant hereto or thereto on or prior to such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date hereof to the same extent as though made on and as of such date, except to the extent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63322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8" w:right="959" w:bottom="1440" w:gutter="0" w:footer="0" w:header="0"/>
        </w:sectPr>
      </w:pPr>
    </w:p>
    <w:bookmarkStart w:id="108" w:name="page109"/>
    <w:bookmarkEnd w:id="108"/>
    <w:p>
      <w:pPr>
        <w:jc w:val="both"/>
        <w:ind w:right="20"/>
        <w:spacing w:after="0" w:line="259" w:lineRule="auto"/>
        <w:rPr>
          <w:sz w:val="20"/>
          <w:szCs w:val="20"/>
          <w:color w:val="auto"/>
        </w:rPr>
      </w:pPr>
      <w:r>
        <w:rPr>
          <w:rFonts w:ascii="Arial" w:cs="Arial" w:eastAsia="Arial" w:hAnsi="Arial"/>
          <w:sz w:val="13"/>
          <w:szCs w:val="13"/>
          <w:color w:val="auto"/>
        </w:rPr>
        <w:t>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20"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010000"/>
        </w:rPr>
        <w:t xml:space="preserve">5.3. </w:t>
      </w:r>
      <w:r>
        <w:rPr>
          <w:rFonts w:ascii="Arial" w:cs="Arial" w:eastAsia="Arial" w:hAnsi="Arial"/>
          <w:sz w:val="13"/>
          <w:szCs w:val="13"/>
          <w:u w:val="single" w:color="auto"/>
          <w:color w:val="000000"/>
        </w:rPr>
        <w:t>No Waiver; Loan Document</w:t>
      </w:r>
      <w:r>
        <w:rPr>
          <w:rFonts w:ascii="Arial" w:cs="Arial" w:eastAsia="Arial" w:hAnsi="Arial"/>
          <w:sz w:val="13"/>
          <w:szCs w:val="13"/>
          <w:color w:val="000000"/>
        </w:rPr>
        <w:t>. The execution, delivery and effectiveness of this Amendment shall not, except as expressly provided herein, operate as a waiver of any right,</w:t>
      </w:r>
      <w:r>
        <w:rPr>
          <w:rFonts w:ascii="Arial" w:cs="Arial" w:eastAsia="Arial" w:hAnsi="Arial"/>
          <w:sz w:val="13"/>
          <w:szCs w:val="13"/>
          <w:color w:val="010000"/>
        </w:rPr>
        <w:t xml:space="preserve"> </w:t>
      </w:r>
      <w:r>
        <w:rPr>
          <w:rFonts w:ascii="Arial" w:cs="Arial" w:eastAsia="Arial" w:hAnsi="Arial"/>
          <w:sz w:val="13"/>
          <w:szCs w:val="13"/>
          <w:color w:val="000000"/>
        </w:rPr>
        <w:t>power or remedy of any Lender or the Agent under any of the Loan Documents, nor constitute a waiver of any provision of any of the Loan Documents except as expressly provided herein. Once the Satisfaction Date has occurred, this Amendment shall for all purposes constitute a Loan Document effective as of First Amendment Effective Date. Once the Satisfaction Date has occurred,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effective as of First Amendment Effective Date, to the Credit Agreement as amended or otherwise modified by this Amendment.</w:t>
      </w:r>
    </w:p>
    <w:p>
      <w:pPr>
        <w:spacing w:after="0" w:line="12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010000"/>
        </w:rPr>
        <w:t xml:space="preserve">5.4. </w:t>
      </w:r>
      <w:r>
        <w:rPr>
          <w:rFonts w:ascii="Arial" w:cs="Arial" w:eastAsia="Arial" w:hAnsi="Arial"/>
          <w:sz w:val="13"/>
          <w:szCs w:val="13"/>
          <w:u w:val="single" w:color="auto"/>
          <w:color w:val="000000"/>
        </w:rPr>
        <w:t>Other Violations</w:t>
      </w:r>
      <w:r>
        <w:rPr>
          <w:rFonts w:ascii="Arial" w:cs="Arial" w:eastAsia="Arial" w:hAnsi="Arial"/>
          <w:sz w:val="13"/>
          <w:szCs w:val="13"/>
          <w:color w:val="000000"/>
        </w:rPr>
        <w:t>. Neither the execution by the Agent or the Lenders of this Amendment, nor any other act or omission by the Agent or the Lenders or their respective</w:t>
      </w:r>
      <w:r>
        <w:rPr>
          <w:rFonts w:ascii="Arial" w:cs="Arial" w:eastAsia="Arial" w:hAnsi="Arial"/>
          <w:sz w:val="13"/>
          <w:szCs w:val="13"/>
          <w:color w:val="010000"/>
        </w:rPr>
        <w:t xml:space="preserve"> </w:t>
      </w:r>
      <w:r>
        <w:rPr>
          <w:rFonts w:ascii="Arial" w:cs="Arial" w:eastAsia="Arial" w:hAnsi="Arial"/>
          <w:sz w:val="13"/>
          <w:szCs w:val="13"/>
          <w:color w:val="000000"/>
        </w:rPr>
        <w:t xml:space="preserve">officers in connection herewith, shall be deemed a waiver by the Agent or the Lenders of any Defaults (except as expressly set forth in </w:t>
      </w:r>
      <w:r>
        <w:rPr>
          <w:rFonts w:ascii="Arial" w:cs="Arial" w:eastAsia="Arial" w:hAnsi="Arial"/>
          <w:sz w:val="13"/>
          <w:szCs w:val="13"/>
          <w:u w:val="single" w:color="auto"/>
          <w:color w:val="000000"/>
        </w:rPr>
        <w:t>Section 3</w:t>
      </w:r>
      <w:r>
        <w:rPr>
          <w:rFonts w:ascii="Arial" w:cs="Arial" w:eastAsia="Arial" w:hAnsi="Arial"/>
          <w:sz w:val="13"/>
          <w:szCs w:val="13"/>
          <w:color w:val="000000"/>
        </w:rPr>
        <w:t xml:space="preserve"> above) which may exist or which may occur in the future under the Credit Agreement and/or the other Loan Documents (collectively, “</w:t>
      </w:r>
      <w:r>
        <w:rPr>
          <w:rFonts w:ascii="Arial" w:cs="Arial" w:eastAsia="Arial" w:hAnsi="Arial"/>
          <w:sz w:val="13"/>
          <w:szCs w:val="13"/>
          <w:b w:val="1"/>
          <w:bCs w:val="1"/>
          <w:i w:val="1"/>
          <w:iCs w:val="1"/>
          <w:color w:val="000000"/>
        </w:rPr>
        <w:t>Other Violations</w:t>
      </w:r>
      <w:r>
        <w:rPr>
          <w:rFonts w:ascii="Arial" w:cs="Arial" w:eastAsia="Arial" w:hAnsi="Arial"/>
          <w:sz w:val="13"/>
          <w:szCs w:val="13"/>
          <w:color w:val="000000"/>
        </w:rPr>
        <w:t>”). Similarly, nothing contained in this Amendment shall directly or indirectly in any way whatsoever either: (i) impair, prejudice or otherwise adversely affect the Agent’s or any Lender’s right at any time to exercise any right, privilege or remedy in connection with the Loan Documents with respect to any Other Violations, (ii) amend or alter any provision of the Credit Agreement, the other Loan Documents, or any other contract or instrument, except as expressly waived herein or (iii) constitute any course of dealing or other basis for altering any obligation of the Company or any right, privilege or remedy of the Agent or the Lenders under the Credit Agreement, the other Loan Documents, or any other contract or instrument. Nothing in this Amendment shall be construed to be a waiver by the Agent or the Lenders to any Other Violations.</w:t>
      </w:r>
    </w:p>
    <w:p>
      <w:pPr>
        <w:spacing w:after="0" w:line="12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010000"/>
        </w:rPr>
        <w:t xml:space="preserve">5.5. </w:t>
      </w:r>
      <w:r>
        <w:rPr>
          <w:rFonts w:ascii="Arial" w:cs="Arial" w:eastAsia="Arial" w:hAnsi="Arial"/>
          <w:sz w:val="13"/>
          <w:szCs w:val="13"/>
          <w:u w:val="single" w:color="auto"/>
          <w:color w:val="000000"/>
        </w:rPr>
        <w:t>Counterparts</w:t>
      </w:r>
      <w:r>
        <w:rPr>
          <w:rFonts w:ascii="Arial" w:cs="Arial" w:eastAsia="Arial" w:hAnsi="Arial"/>
          <w:sz w:val="13"/>
          <w:szCs w:val="13"/>
          <w:color w:val="000000"/>
        </w:rPr>
        <w:t>. This Amendment may be executed in counterparts (and by different parties hereto on different counterparts), each of which shall constitute an original, but</w:t>
      </w:r>
      <w:r>
        <w:rPr>
          <w:rFonts w:ascii="Arial" w:cs="Arial" w:eastAsia="Arial" w:hAnsi="Arial"/>
          <w:sz w:val="13"/>
          <w:szCs w:val="13"/>
          <w:color w:val="010000"/>
        </w:rPr>
        <w:t xml:space="preserve"> </w:t>
      </w:r>
      <w:r>
        <w:rPr>
          <w:rFonts w:ascii="Arial" w:cs="Arial" w:eastAsia="Arial" w:hAnsi="Arial"/>
          <w:sz w:val="13"/>
          <w:szCs w:val="13"/>
          <w:color w:val="000000"/>
        </w:rPr>
        <w:t xml:space="preserve">all of which when taken together shall constitute a single contract. This Amendment,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3"/>
          <w:szCs w:val="13"/>
          <w:u w:val="single" w:color="auto"/>
          <w:color w:val="000000"/>
        </w:rPr>
        <w:t>Section 4</w:t>
      </w:r>
      <w:r>
        <w:rPr>
          <w:rFonts w:ascii="Arial" w:cs="Arial" w:eastAsia="Arial" w:hAnsi="Arial"/>
          <w:sz w:val="13"/>
          <w:szCs w:val="13"/>
          <w:color w:val="000000"/>
        </w:rPr>
        <w:t>, this Amendment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2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5.6. </w:t>
      </w:r>
      <w:r>
        <w:rPr>
          <w:rFonts w:ascii="Arial" w:cs="Arial" w:eastAsia="Arial" w:hAnsi="Arial"/>
          <w:sz w:val="13"/>
          <w:szCs w:val="13"/>
          <w:u w:val="single" w:color="auto"/>
          <w:color w:val="000000"/>
        </w:rPr>
        <w:t>NO ORAL AGREEMENT</w:t>
      </w:r>
      <w:r>
        <w:rPr>
          <w:rFonts w:ascii="Arial" w:cs="Arial" w:eastAsia="Arial" w:hAnsi="Arial"/>
          <w:sz w:val="13"/>
          <w:szCs w:val="13"/>
          <w:color w:val="000000"/>
        </w:rPr>
        <w:t>. THIS AMENDMENT, THE CREDIT AGREEMENT AND THE OTHER LOAN DOCUMENTS EXECUTED IN CONNECTION</w:t>
      </w:r>
      <w:r>
        <w:rPr>
          <w:rFonts w:ascii="Arial" w:cs="Arial" w:eastAsia="Arial" w:hAnsi="Arial"/>
          <w:sz w:val="13"/>
          <w:szCs w:val="13"/>
          <w:color w:val="010000"/>
        </w:rPr>
        <w:t xml:space="preserve"> </w:t>
      </w:r>
      <w:r>
        <w:rPr>
          <w:rFonts w:ascii="Arial" w:cs="Arial" w:eastAsia="Arial" w:hAnsi="Arial"/>
          <w:sz w:val="13"/>
          <w:szCs w:val="13"/>
          <w:color w:val="000000"/>
        </w:rPr>
        <w:t>HEREWITH AND THEREWITH REPRESENT THE FINAL AGREEMENT BETWEEN THE PARTIES AND MAY NOT BE CONTRADICTED BY EVIDENCE OF PRIOR, CONTEMPORANEOUS, OR UNWRITTEN ORAL AGREEMENTS OF THE PARTIES. AS OF THE DATE OF THIS AMENDMENT, THERE ARE NO ORAL AGREEMENTS BETWEEN THE PARTIES.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63322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8" w:right="959" w:bottom="1440" w:gutter="0" w:footer="0" w:header="0"/>
        </w:sectPr>
      </w:pPr>
    </w:p>
    <w:bookmarkStart w:id="109" w:name="page110"/>
    <w:bookmarkEnd w:id="109"/>
    <w:p>
      <w:pPr>
        <w:jc w:val="both"/>
        <w:ind w:firstLine="432"/>
        <w:spacing w:after="0" w:line="259" w:lineRule="auto"/>
        <w:rPr>
          <w:sz w:val="20"/>
          <w:szCs w:val="20"/>
          <w:color w:val="auto"/>
        </w:rPr>
      </w:pPr>
      <w:r>
        <w:rPr>
          <w:rFonts w:ascii="Arial" w:cs="Arial" w:eastAsia="Arial" w:hAnsi="Arial"/>
          <w:sz w:val="13"/>
          <w:szCs w:val="13"/>
          <w:color w:val="010000"/>
        </w:rPr>
        <w:t xml:space="preserve">5.7. </w:t>
      </w:r>
      <w:r>
        <w:rPr>
          <w:rFonts w:ascii="Arial" w:cs="Arial" w:eastAsia="Arial" w:hAnsi="Arial"/>
          <w:sz w:val="13"/>
          <w:szCs w:val="13"/>
          <w:u w:val="single" w:color="auto"/>
          <w:color w:val="000000"/>
        </w:rPr>
        <w:t>GOVERNING LAW</w:t>
      </w:r>
      <w:r>
        <w:rPr>
          <w:rFonts w:ascii="Arial" w:cs="Arial" w:eastAsia="Arial" w:hAnsi="Arial"/>
          <w:sz w:val="13"/>
          <w:szCs w:val="13"/>
          <w:color w:val="000000"/>
        </w:rPr>
        <w:t>. THIS AMENDMENT AND THE RIGHTS AND OBLIGATIONS OF THE PARTIES HEREUNDER SHALL BE GOVERNED BY, AND SHALL</w:t>
      </w:r>
      <w:r>
        <w:rPr>
          <w:rFonts w:ascii="Arial" w:cs="Arial" w:eastAsia="Arial" w:hAnsi="Arial"/>
          <w:sz w:val="13"/>
          <w:szCs w:val="13"/>
          <w:color w:val="010000"/>
        </w:rPr>
        <w:t xml:space="preserve"> </w:t>
      </w:r>
      <w:r>
        <w:rPr>
          <w:rFonts w:ascii="Arial" w:cs="Arial" w:eastAsia="Arial" w:hAnsi="Arial"/>
          <w:sz w:val="13"/>
          <w:szCs w:val="13"/>
          <w:color w:val="000000"/>
        </w:rPr>
        <w:t>BE CONSTRUED AND ENFORCED IN ACCORDANCE WITH, THE LAWS OF THE STATE OF NEW YORK APPLICABLE TO CONTRACTS MADE AND TO BE PERFORMED IN THE STATE OF NEW YORK. FOR THE AVOIDANCE OF DOUBT, THIS AMENDMENT IS SUBJECT TO SECTIONS 10.14 AND 10.15.</w:t>
      </w:r>
    </w:p>
    <w:p>
      <w:pPr>
        <w:spacing w:after="0" w:line="12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010000"/>
        </w:rPr>
        <w:t xml:space="preserve">5.8. </w:t>
      </w:r>
      <w:r>
        <w:rPr>
          <w:rFonts w:ascii="Arial" w:cs="Arial" w:eastAsia="Arial" w:hAnsi="Arial"/>
          <w:sz w:val="13"/>
          <w:szCs w:val="13"/>
          <w:u w:val="single" w:color="auto"/>
          <w:color w:val="000000"/>
        </w:rPr>
        <w:t>Miscellaneous</w:t>
      </w:r>
      <w:r>
        <w:rPr>
          <w:rFonts w:ascii="Arial" w:cs="Arial" w:eastAsia="Arial" w:hAnsi="Arial"/>
          <w:sz w:val="13"/>
          <w:szCs w:val="13"/>
          <w:color w:val="000000"/>
        </w:rPr>
        <w:t>. No failure or delay on the part of the Agent in the exercise of any power, right or privilege hereunder or under any other Loan Document shall impair such</w:t>
      </w:r>
      <w:r>
        <w:rPr>
          <w:rFonts w:ascii="Arial" w:cs="Arial" w:eastAsia="Arial" w:hAnsi="Arial"/>
          <w:sz w:val="13"/>
          <w:szCs w:val="13"/>
          <w:color w:val="010000"/>
        </w:rPr>
        <w:t xml:space="preserve"> </w:t>
      </w:r>
      <w:r>
        <w:rPr>
          <w:rFonts w:ascii="Arial" w:cs="Arial" w:eastAsia="Arial" w:hAnsi="Arial"/>
          <w:sz w:val="13"/>
          <w:szCs w:val="13"/>
          <w:color w:val="000000"/>
        </w:rPr>
        <w:t>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Amendment and the other Loan Documents are cumulative to, and not exclusive of, any rights or remedies otherwise available. In case any provision in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 This Amendment shall be binding upon and inure to the benefit of the parties hereto and their respective successors and assigns. For the avoidance of doubt, this Amendment is subject to Section 10.18.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[SIGNATURES BEGIN NEXT PAGE]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63322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8" w:right="959" w:bottom="1440" w:gutter="0" w:footer="0" w:header="0"/>
        </w:sectPr>
      </w:pPr>
    </w:p>
    <w:bookmarkStart w:id="110" w:name="page111"/>
    <w:bookmarkEnd w:id="110"/>
    <w:p>
      <w:pPr>
        <w:ind w:left="420"/>
        <w:spacing w:after="0"/>
        <w:rPr>
          <w:sz w:val="20"/>
          <w:szCs w:val="20"/>
          <w:color w:val="auto"/>
        </w:rPr>
      </w:pPr>
      <w:r>
        <w:rPr>
          <w:rFonts w:ascii="Arial" w:cs="Arial" w:eastAsia="Arial" w:hAnsi="Arial"/>
          <w:sz w:val="13"/>
          <w:szCs w:val="13"/>
          <w:color w:val="auto"/>
        </w:rPr>
        <w:t>IN WITNESS WHEREOF, the parties hereto have caused this Amendment to be duly executed as of the date first written above.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FERRELLGAS, L.P.</w:t>
            </w:r>
          </w:p>
        </w:tc>
      </w:tr>
      <w:tr>
        <w:trPr>
          <w:trHeight w:val="306"/>
        </w:trPr>
        <w:tc>
          <w:tcPr>
            <w:tcW w:w="50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00" w:type="dxa"/>
            <w:vAlign w:val="bottom"/>
          </w:tcPr>
          <w:p>
            <w:pPr>
              <w:ind w:left="100"/>
              <w:spacing w:after="0"/>
              <w:rPr>
                <w:sz w:val="20"/>
                <w:szCs w:val="20"/>
                <w:color w:val="auto"/>
              </w:rPr>
            </w:pPr>
            <w:r>
              <w:rPr>
                <w:rFonts w:ascii="Arial" w:cs="Arial" w:eastAsia="Arial" w:hAnsi="Arial"/>
                <w:sz w:val="13"/>
                <w:szCs w:val="13"/>
                <w:color w:val="auto"/>
              </w:rPr>
              <w:t>Ferrellgas, Inc., its general partner</w:t>
            </w:r>
          </w:p>
        </w:tc>
      </w:tr>
      <w:tr>
        <w:trPr>
          <w:trHeight w:val="304"/>
        </w:trPr>
        <w:tc>
          <w:tcPr>
            <w:tcW w:w="500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i w:val="1"/>
                <w:iCs w:val="1"/>
                <w:color w:val="auto"/>
              </w:rPr>
              <w:t>Brian W. Herrmann</w:t>
            </w:r>
          </w:p>
        </w:tc>
      </w:tr>
      <w:tr>
        <w:trPr>
          <w:trHeight w:val="131"/>
        </w:trPr>
        <w:tc>
          <w:tcPr>
            <w:tcW w:w="5000" w:type="dxa"/>
            <w:vAlign w:val="bottom"/>
          </w:tcPr>
          <w:p>
            <w:pPr>
              <w:spacing w:after="0"/>
              <w:rPr>
                <w:sz w:val="11"/>
                <w:szCs w:val="11"/>
                <w:color w:val="auto"/>
              </w:rPr>
            </w:pPr>
          </w:p>
        </w:tc>
        <w:tc>
          <w:tcPr>
            <w:tcW w:w="460" w:type="dxa"/>
            <w:vAlign w:val="bottom"/>
          </w:tcPr>
          <w:p>
            <w:pPr>
              <w:spacing w:after="0" w:line="132" w:lineRule="exact"/>
              <w:rPr>
                <w:sz w:val="20"/>
                <w:szCs w:val="20"/>
                <w:color w:val="auto"/>
              </w:rPr>
            </w:pPr>
            <w:r>
              <w:rPr>
                <w:rFonts w:ascii="Arial" w:cs="Arial" w:eastAsia="Arial" w:hAnsi="Arial"/>
                <w:sz w:val="13"/>
                <w:szCs w:val="13"/>
                <w:color w:val="auto"/>
              </w:rPr>
              <w:t>Name:</w:t>
            </w:r>
          </w:p>
        </w:tc>
        <w:tc>
          <w:tcPr>
            <w:tcW w:w="4500" w:type="dxa"/>
            <w:vAlign w:val="bottom"/>
          </w:tcPr>
          <w:p>
            <w:pPr>
              <w:ind w:left="100"/>
              <w:spacing w:after="0" w:line="132" w:lineRule="exact"/>
              <w:rPr>
                <w:sz w:val="20"/>
                <w:szCs w:val="20"/>
                <w:color w:val="auto"/>
              </w:rPr>
            </w:pPr>
            <w:r>
              <w:rPr>
                <w:rFonts w:ascii="Arial" w:cs="Arial" w:eastAsia="Arial" w:hAnsi="Arial"/>
                <w:sz w:val="13"/>
                <w:szCs w:val="13"/>
                <w:color w:val="auto"/>
              </w:rPr>
              <w:t>Brian W. Herrmann</w:t>
            </w:r>
          </w:p>
        </w:tc>
      </w:tr>
      <w:tr>
        <w:trPr>
          <w:trHeight w:val="166"/>
        </w:trPr>
        <w:tc>
          <w:tcPr>
            <w:tcW w:w="50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500" w:type="dxa"/>
            <w:vAlign w:val="bottom"/>
          </w:tcPr>
          <w:p>
            <w:pPr>
              <w:ind w:left="100"/>
              <w:spacing w:after="0"/>
              <w:rPr>
                <w:sz w:val="20"/>
                <w:szCs w:val="20"/>
                <w:color w:val="auto"/>
              </w:rPr>
            </w:pPr>
            <w:r>
              <w:rPr>
                <w:rFonts w:ascii="Arial" w:cs="Arial" w:eastAsia="Arial" w:hAnsi="Arial"/>
                <w:sz w:val="13"/>
                <w:szCs w:val="13"/>
                <w:color w:val="auto"/>
              </w:rPr>
              <w:t>Interim Chief Financial Officer</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8" w:right="9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9"/>
        </w:trPr>
        <w:tc>
          <w:tcPr>
            <w:tcW w:w="3800" w:type="dxa"/>
            <w:vAlign w:val="bottom"/>
          </w:tcPr>
          <w:p>
            <w:pPr>
              <w:spacing w:after="0"/>
              <w:rPr>
                <w:sz w:val="20"/>
                <w:szCs w:val="20"/>
                <w:color w:val="auto"/>
              </w:rPr>
            </w:pPr>
            <w:r>
              <w:rPr>
                <w:rFonts w:ascii="Arial" w:cs="Arial" w:eastAsia="Arial" w:hAnsi="Arial"/>
                <w:sz w:val="13"/>
                <w:szCs w:val="13"/>
                <w:b w:val="1"/>
                <w:bCs w:val="1"/>
                <w:color w:val="auto"/>
              </w:rPr>
              <w:t>AGENT, LENDER AND ISSUING LENDER:</w:t>
            </w:r>
          </w:p>
        </w:tc>
        <w:tc>
          <w:tcPr>
            <w:tcW w:w="6160" w:type="dxa"/>
            <w:vAlign w:val="bottom"/>
            <w:gridSpan w:val="2"/>
          </w:tcPr>
          <w:p>
            <w:pPr>
              <w:ind w:left="1200"/>
              <w:spacing w:after="0"/>
              <w:rPr>
                <w:sz w:val="20"/>
                <w:szCs w:val="20"/>
                <w:color w:val="auto"/>
              </w:rPr>
            </w:pPr>
            <w:r>
              <w:rPr>
                <w:rFonts w:ascii="Arial" w:cs="Arial" w:eastAsia="Arial" w:hAnsi="Arial"/>
                <w:sz w:val="13"/>
                <w:szCs w:val="13"/>
                <w:b w:val="1"/>
                <w:bCs w:val="1"/>
                <w:color w:val="auto"/>
              </w:rPr>
              <w:t>JPMORGAN CHASE BANK, N.A.</w:t>
            </w:r>
          </w:p>
        </w:tc>
      </w:tr>
      <w:tr>
        <w:trPr>
          <w:trHeight w:val="293"/>
        </w:trPr>
        <w:tc>
          <w:tcPr>
            <w:tcW w:w="3800" w:type="dxa"/>
            <w:vAlign w:val="bottom"/>
          </w:tcPr>
          <w:p>
            <w:pPr>
              <w:spacing w:after="0"/>
              <w:rPr>
                <w:sz w:val="24"/>
                <w:szCs w:val="24"/>
                <w:color w:val="auto"/>
              </w:rPr>
            </w:pPr>
          </w:p>
        </w:tc>
        <w:tc>
          <w:tcPr>
            <w:tcW w:w="1760" w:type="dxa"/>
            <w:vAlign w:val="bottom"/>
          </w:tcPr>
          <w:p>
            <w:pPr>
              <w:ind w:left="120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Darren Vanek</w:t>
            </w:r>
          </w:p>
        </w:tc>
      </w:tr>
      <w:tr>
        <w:trPr>
          <w:trHeight w:val="142"/>
        </w:trPr>
        <w:tc>
          <w:tcPr>
            <w:tcW w:w="3800" w:type="dxa"/>
            <w:vAlign w:val="bottom"/>
          </w:tcPr>
          <w:p>
            <w:pPr>
              <w:spacing w:after="0"/>
              <w:rPr>
                <w:sz w:val="12"/>
                <w:szCs w:val="12"/>
                <w:color w:val="auto"/>
              </w:rPr>
            </w:pPr>
          </w:p>
        </w:tc>
        <w:tc>
          <w:tcPr>
            <w:tcW w:w="1760" w:type="dxa"/>
            <w:vAlign w:val="bottom"/>
          </w:tcPr>
          <w:p>
            <w:pPr>
              <w:ind w:left="120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Darren Vanek</w:t>
            </w:r>
          </w:p>
        </w:tc>
      </w:tr>
      <w:tr>
        <w:trPr>
          <w:trHeight w:val="166"/>
        </w:trPr>
        <w:tc>
          <w:tcPr>
            <w:tcW w:w="3800" w:type="dxa"/>
            <w:vAlign w:val="bottom"/>
          </w:tcPr>
          <w:p>
            <w:pPr>
              <w:spacing w:after="0"/>
              <w:rPr>
                <w:sz w:val="14"/>
                <w:szCs w:val="14"/>
                <w:color w:val="auto"/>
              </w:rPr>
            </w:pPr>
          </w:p>
        </w:tc>
        <w:tc>
          <w:tcPr>
            <w:tcW w:w="1760" w:type="dxa"/>
            <w:vAlign w:val="bottom"/>
          </w:tcPr>
          <w:p>
            <w:pPr>
              <w:ind w:left="120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Authorized Officer</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20"/>
                <w:szCs w:val="20"/>
                <w:color w:val="auto"/>
              </w:rPr>
            </w:pPr>
            <w:r>
              <w:rPr>
                <w:rFonts w:ascii="Arial" w:cs="Arial" w:eastAsia="Arial" w:hAnsi="Arial"/>
                <w:sz w:val="13"/>
                <w:szCs w:val="13"/>
                <w:b w:val="1"/>
                <w:bCs w:val="1"/>
                <w:color w:val="auto"/>
              </w:rPr>
              <w:t>LENDER AND ISSUING LENDER:</w:t>
            </w:r>
          </w:p>
        </w:tc>
        <w:tc>
          <w:tcPr>
            <w:tcW w:w="6420" w:type="dxa"/>
            <w:vAlign w:val="bottom"/>
            <w:gridSpan w:val="2"/>
          </w:tcPr>
          <w:p>
            <w:pPr>
              <w:ind w:left="1460"/>
              <w:spacing w:after="0"/>
              <w:rPr>
                <w:sz w:val="20"/>
                <w:szCs w:val="20"/>
                <w:color w:val="auto"/>
              </w:rPr>
            </w:pPr>
            <w:r>
              <w:rPr>
                <w:rFonts w:ascii="Arial" w:cs="Arial" w:eastAsia="Arial" w:hAnsi="Arial"/>
                <w:sz w:val="13"/>
                <w:szCs w:val="13"/>
                <w:b w:val="1"/>
                <w:bCs w:val="1"/>
                <w:color w:val="auto"/>
              </w:rPr>
              <w:t>PNC BANK, NATIONAL ASSOCIATION</w:t>
            </w:r>
          </w:p>
        </w:tc>
      </w:tr>
      <w:tr>
        <w:trPr>
          <w:trHeight w:val="293"/>
        </w:trPr>
        <w:tc>
          <w:tcPr>
            <w:tcW w:w="3540" w:type="dxa"/>
            <w:vAlign w:val="bottom"/>
          </w:tcPr>
          <w:p>
            <w:pPr>
              <w:spacing w:after="0"/>
              <w:rPr>
                <w:sz w:val="24"/>
                <w:szCs w:val="24"/>
                <w:color w:val="auto"/>
              </w:rPr>
            </w:pPr>
          </w:p>
        </w:tc>
        <w:tc>
          <w:tcPr>
            <w:tcW w:w="2020" w:type="dxa"/>
            <w:vAlign w:val="bottom"/>
          </w:tcPr>
          <w:p>
            <w:pPr>
              <w:ind w:left="146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Steve Roberts</w:t>
            </w:r>
          </w:p>
        </w:tc>
      </w:tr>
      <w:tr>
        <w:trPr>
          <w:trHeight w:val="142"/>
        </w:trPr>
        <w:tc>
          <w:tcPr>
            <w:tcW w:w="3540" w:type="dxa"/>
            <w:vAlign w:val="bottom"/>
          </w:tcPr>
          <w:p>
            <w:pPr>
              <w:spacing w:after="0"/>
              <w:rPr>
                <w:sz w:val="12"/>
                <w:szCs w:val="12"/>
                <w:color w:val="auto"/>
              </w:rPr>
            </w:pPr>
          </w:p>
        </w:tc>
        <w:tc>
          <w:tcPr>
            <w:tcW w:w="2020" w:type="dxa"/>
            <w:vAlign w:val="bottom"/>
          </w:tcPr>
          <w:p>
            <w:pPr>
              <w:ind w:left="146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Steve Roberts</w:t>
            </w:r>
          </w:p>
        </w:tc>
      </w:tr>
      <w:tr>
        <w:trPr>
          <w:trHeight w:val="166"/>
        </w:trPr>
        <w:tc>
          <w:tcPr>
            <w:tcW w:w="3540" w:type="dxa"/>
            <w:vAlign w:val="bottom"/>
          </w:tcPr>
          <w:p>
            <w:pPr>
              <w:spacing w:after="0"/>
              <w:rPr>
                <w:sz w:val="14"/>
                <w:szCs w:val="14"/>
                <w:color w:val="auto"/>
              </w:rPr>
            </w:pPr>
          </w:p>
        </w:tc>
        <w:tc>
          <w:tcPr>
            <w:tcW w:w="2020" w:type="dxa"/>
            <w:vAlign w:val="bottom"/>
          </w:tcPr>
          <w:p>
            <w:pPr>
              <w:ind w:left="146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rPr>
                <w:sz w:val="20"/>
                <w:szCs w:val="20"/>
                <w:color w:val="auto"/>
              </w:rPr>
            </w:pPr>
            <w:r>
              <w:rPr>
                <w:rFonts w:ascii="Arial" w:cs="Arial" w:eastAsia="Arial" w:hAnsi="Arial"/>
                <w:sz w:val="13"/>
                <w:szCs w:val="13"/>
                <w:b w:val="1"/>
                <w:bCs w:val="1"/>
                <w:color w:val="auto"/>
              </w:rPr>
              <w:t>LENDER:</w:t>
            </w:r>
          </w:p>
        </w:tc>
        <w:tc>
          <w:tcPr>
            <w:tcW w:w="7160" w:type="dxa"/>
            <w:vAlign w:val="bottom"/>
            <w:gridSpan w:val="2"/>
          </w:tcPr>
          <w:p>
            <w:pPr>
              <w:ind w:left="2200"/>
              <w:spacing w:after="0"/>
              <w:rPr>
                <w:sz w:val="20"/>
                <w:szCs w:val="20"/>
                <w:color w:val="auto"/>
              </w:rPr>
            </w:pPr>
            <w:r>
              <w:rPr>
                <w:rFonts w:ascii="Arial" w:cs="Arial" w:eastAsia="Arial" w:hAnsi="Arial"/>
                <w:sz w:val="13"/>
                <w:szCs w:val="13"/>
                <w:b w:val="1"/>
                <w:bCs w:val="1"/>
                <w:color w:val="auto"/>
              </w:rPr>
              <w:t>ROYAL BANK OF CANADA</w:t>
            </w:r>
          </w:p>
        </w:tc>
      </w:tr>
      <w:tr>
        <w:trPr>
          <w:trHeight w:val="293"/>
        </w:trPr>
        <w:tc>
          <w:tcPr>
            <w:tcW w:w="28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Jason York</w:t>
            </w:r>
          </w:p>
        </w:tc>
      </w:tr>
      <w:tr>
        <w:trPr>
          <w:trHeight w:val="142"/>
        </w:trPr>
        <w:tc>
          <w:tcPr>
            <w:tcW w:w="2800" w:type="dxa"/>
            <w:vAlign w:val="bottom"/>
          </w:tcPr>
          <w:p>
            <w:pPr>
              <w:spacing w:after="0"/>
              <w:rPr>
                <w:sz w:val="12"/>
                <w:szCs w:val="12"/>
                <w:color w:val="auto"/>
              </w:rPr>
            </w:pPr>
          </w:p>
        </w:tc>
        <w:tc>
          <w:tcPr>
            <w:tcW w:w="2760" w:type="dxa"/>
            <w:vAlign w:val="bottom"/>
          </w:tcPr>
          <w:p>
            <w:pPr>
              <w:ind w:left="220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Jason S. York</w:t>
            </w:r>
          </w:p>
        </w:tc>
      </w:tr>
      <w:tr>
        <w:trPr>
          <w:trHeight w:val="166"/>
        </w:trPr>
        <w:tc>
          <w:tcPr>
            <w:tcW w:w="2800" w:type="dxa"/>
            <w:vAlign w:val="bottom"/>
          </w:tcPr>
          <w:p>
            <w:pPr>
              <w:spacing w:after="0"/>
              <w:rPr>
                <w:sz w:val="14"/>
                <w:szCs w:val="1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Authorized Signatory</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20"/>
                <w:szCs w:val="20"/>
                <w:color w:val="auto"/>
              </w:rPr>
            </w:pPr>
            <w:r>
              <w:rPr>
                <w:rFonts w:ascii="Arial" w:cs="Arial" w:eastAsia="Arial" w:hAnsi="Arial"/>
                <w:sz w:val="13"/>
                <w:szCs w:val="13"/>
                <w:b w:val="1"/>
                <w:bCs w:val="1"/>
                <w:color w:val="auto"/>
              </w:rPr>
              <w:t>LENDER AND ISSUING LENDER:</w:t>
            </w:r>
          </w:p>
        </w:tc>
        <w:tc>
          <w:tcPr>
            <w:tcW w:w="6420" w:type="dxa"/>
            <w:vAlign w:val="bottom"/>
            <w:gridSpan w:val="2"/>
          </w:tcPr>
          <w:p>
            <w:pPr>
              <w:ind w:left="1460"/>
              <w:spacing w:after="0"/>
              <w:rPr>
                <w:sz w:val="20"/>
                <w:szCs w:val="20"/>
                <w:color w:val="auto"/>
              </w:rPr>
            </w:pPr>
            <w:r>
              <w:rPr>
                <w:rFonts w:ascii="Arial" w:cs="Arial" w:eastAsia="Arial" w:hAnsi="Arial"/>
                <w:sz w:val="13"/>
                <w:szCs w:val="13"/>
                <w:b w:val="1"/>
                <w:bCs w:val="1"/>
                <w:color w:val="auto"/>
              </w:rPr>
              <w:t>TRUIST BANK</w:t>
            </w:r>
          </w:p>
        </w:tc>
      </w:tr>
      <w:tr>
        <w:trPr>
          <w:trHeight w:val="293"/>
        </w:trPr>
        <w:tc>
          <w:tcPr>
            <w:tcW w:w="3540" w:type="dxa"/>
            <w:vAlign w:val="bottom"/>
          </w:tcPr>
          <w:p>
            <w:pPr>
              <w:spacing w:after="0"/>
              <w:rPr>
                <w:sz w:val="24"/>
                <w:szCs w:val="24"/>
                <w:color w:val="auto"/>
              </w:rPr>
            </w:pPr>
          </w:p>
        </w:tc>
        <w:tc>
          <w:tcPr>
            <w:tcW w:w="2020" w:type="dxa"/>
            <w:vAlign w:val="bottom"/>
          </w:tcPr>
          <w:p>
            <w:pPr>
              <w:ind w:left="146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James Giordano</w:t>
            </w:r>
          </w:p>
        </w:tc>
      </w:tr>
      <w:tr>
        <w:trPr>
          <w:trHeight w:val="142"/>
        </w:trPr>
        <w:tc>
          <w:tcPr>
            <w:tcW w:w="3540" w:type="dxa"/>
            <w:vAlign w:val="bottom"/>
          </w:tcPr>
          <w:p>
            <w:pPr>
              <w:spacing w:after="0"/>
              <w:rPr>
                <w:sz w:val="12"/>
                <w:szCs w:val="12"/>
                <w:color w:val="auto"/>
              </w:rPr>
            </w:pPr>
          </w:p>
        </w:tc>
        <w:tc>
          <w:tcPr>
            <w:tcW w:w="2020" w:type="dxa"/>
            <w:vAlign w:val="bottom"/>
          </w:tcPr>
          <w:p>
            <w:pPr>
              <w:ind w:left="146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James Giordano</w:t>
            </w:r>
          </w:p>
        </w:tc>
      </w:tr>
      <w:tr>
        <w:trPr>
          <w:trHeight w:val="166"/>
        </w:trPr>
        <w:tc>
          <w:tcPr>
            <w:tcW w:w="3540" w:type="dxa"/>
            <w:vAlign w:val="bottom"/>
          </w:tcPr>
          <w:p>
            <w:pPr>
              <w:spacing w:after="0"/>
              <w:rPr>
                <w:sz w:val="14"/>
                <w:szCs w:val="14"/>
                <w:color w:val="auto"/>
              </w:rPr>
            </w:pPr>
          </w:p>
        </w:tc>
        <w:tc>
          <w:tcPr>
            <w:tcW w:w="2020" w:type="dxa"/>
            <w:vAlign w:val="bottom"/>
          </w:tcPr>
          <w:p>
            <w:pPr>
              <w:ind w:left="146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rPr>
                <w:sz w:val="20"/>
                <w:szCs w:val="20"/>
                <w:color w:val="auto"/>
              </w:rPr>
            </w:pPr>
            <w:r>
              <w:rPr>
                <w:rFonts w:ascii="Arial" w:cs="Arial" w:eastAsia="Arial" w:hAnsi="Arial"/>
                <w:sz w:val="13"/>
                <w:szCs w:val="13"/>
                <w:b w:val="1"/>
                <w:bCs w:val="1"/>
                <w:color w:val="auto"/>
              </w:rPr>
              <w:t>LENDER:</w:t>
            </w:r>
          </w:p>
        </w:tc>
        <w:tc>
          <w:tcPr>
            <w:tcW w:w="7160" w:type="dxa"/>
            <w:vAlign w:val="bottom"/>
            <w:gridSpan w:val="2"/>
          </w:tcPr>
          <w:p>
            <w:pPr>
              <w:ind w:left="2200"/>
              <w:spacing w:after="0"/>
              <w:rPr>
                <w:sz w:val="20"/>
                <w:szCs w:val="20"/>
                <w:color w:val="auto"/>
              </w:rPr>
            </w:pPr>
            <w:r>
              <w:rPr>
                <w:rFonts w:ascii="Arial" w:cs="Arial" w:eastAsia="Arial" w:hAnsi="Arial"/>
                <w:sz w:val="13"/>
                <w:szCs w:val="13"/>
                <w:b w:val="1"/>
                <w:bCs w:val="1"/>
                <w:color w:val="auto"/>
              </w:rPr>
              <w:t>CIBC BANK USA</w:t>
            </w:r>
          </w:p>
        </w:tc>
      </w:tr>
      <w:tr>
        <w:trPr>
          <w:trHeight w:val="293"/>
        </w:trPr>
        <w:tc>
          <w:tcPr>
            <w:tcW w:w="28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Zach Strube</w:t>
            </w:r>
          </w:p>
        </w:tc>
      </w:tr>
      <w:tr>
        <w:trPr>
          <w:trHeight w:val="142"/>
        </w:trPr>
        <w:tc>
          <w:tcPr>
            <w:tcW w:w="2800" w:type="dxa"/>
            <w:vAlign w:val="bottom"/>
          </w:tcPr>
          <w:p>
            <w:pPr>
              <w:spacing w:after="0"/>
              <w:rPr>
                <w:sz w:val="12"/>
                <w:szCs w:val="12"/>
                <w:color w:val="auto"/>
              </w:rPr>
            </w:pPr>
          </w:p>
        </w:tc>
        <w:tc>
          <w:tcPr>
            <w:tcW w:w="2760" w:type="dxa"/>
            <w:vAlign w:val="bottom"/>
          </w:tcPr>
          <w:p>
            <w:pPr>
              <w:ind w:left="220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Zach Strube</w:t>
            </w:r>
          </w:p>
        </w:tc>
      </w:tr>
      <w:tr>
        <w:trPr>
          <w:trHeight w:val="166"/>
        </w:trPr>
        <w:tc>
          <w:tcPr>
            <w:tcW w:w="2800" w:type="dxa"/>
            <w:vAlign w:val="bottom"/>
          </w:tcPr>
          <w:p>
            <w:pPr>
              <w:spacing w:after="0"/>
              <w:rPr>
                <w:sz w:val="14"/>
                <w:szCs w:val="1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rPr>
                <w:sz w:val="20"/>
                <w:szCs w:val="20"/>
                <w:color w:val="auto"/>
              </w:rPr>
            </w:pPr>
            <w:r>
              <w:rPr>
                <w:rFonts w:ascii="Arial" w:cs="Arial" w:eastAsia="Arial" w:hAnsi="Arial"/>
                <w:sz w:val="13"/>
                <w:szCs w:val="13"/>
                <w:b w:val="1"/>
                <w:bCs w:val="1"/>
                <w:color w:val="auto"/>
              </w:rPr>
              <w:t>LENDER:</w:t>
            </w:r>
          </w:p>
        </w:tc>
        <w:tc>
          <w:tcPr>
            <w:tcW w:w="7160" w:type="dxa"/>
            <w:vAlign w:val="bottom"/>
            <w:gridSpan w:val="2"/>
          </w:tcPr>
          <w:p>
            <w:pPr>
              <w:ind w:left="2200"/>
              <w:spacing w:after="0"/>
              <w:rPr>
                <w:sz w:val="20"/>
                <w:szCs w:val="20"/>
                <w:color w:val="auto"/>
              </w:rPr>
            </w:pPr>
            <w:r>
              <w:rPr>
                <w:rFonts w:ascii="Arial" w:cs="Arial" w:eastAsia="Arial" w:hAnsi="Arial"/>
                <w:sz w:val="13"/>
                <w:szCs w:val="13"/>
                <w:b w:val="1"/>
                <w:bCs w:val="1"/>
                <w:color w:val="auto"/>
              </w:rPr>
              <w:t>FIFTH THIRD BANK, NATIONAL ASSOCIATION</w:t>
            </w:r>
          </w:p>
        </w:tc>
      </w:tr>
      <w:tr>
        <w:trPr>
          <w:trHeight w:val="293"/>
        </w:trPr>
        <w:tc>
          <w:tcPr>
            <w:tcW w:w="28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Michael Cortese</w:t>
            </w:r>
          </w:p>
        </w:tc>
      </w:tr>
      <w:tr>
        <w:trPr>
          <w:trHeight w:val="142"/>
        </w:trPr>
        <w:tc>
          <w:tcPr>
            <w:tcW w:w="2800" w:type="dxa"/>
            <w:vAlign w:val="bottom"/>
          </w:tcPr>
          <w:p>
            <w:pPr>
              <w:spacing w:after="0"/>
              <w:rPr>
                <w:sz w:val="12"/>
                <w:szCs w:val="12"/>
                <w:color w:val="auto"/>
              </w:rPr>
            </w:pPr>
          </w:p>
        </w:tc>
        <w:tc>
          <w:tcPr>
            <w:tcW w:w="2760" w:type="dxa"/>
            <w:vAlign w:val="bottom"/>
          </w:tcPr>
          <w:p>
            <w:pPr>
              <w:ind w:left="2200"/>
              <w:spacing w:after="0" w:line="142" w:lineRule="exact"/>
              <w:rPr>
                <w:sz w:val="20"/>
                <w:szCs w:val="20"/>
                <w:color w:val="auto"/>
              </w:rPr>
            </w:pPr>
            <w:r>
              <w:rPr>
                <w:rFonts w:ascii="Arial" w:cs="Arial" w:eastAsia="Arial" w:hAnsi="Arial"/>
                <w:sz w:val="13"/>
                <w:szCs w:val="13"/>
                <w:color w:val="auto"/>
              </w:rPr>
              <w:t>Name:</w:t>
            </w:r>
          </w:p>
        </w:tc>
        <w:tc>
          <w:tcPr>
            <w:tcW w:w="4400" w:type="dxa"/>
            <w:vAlign w:val="bottom"/>
          </w:tcPr>
          <w:p>
            <w:pPr>
              <w:spacing w:after="0" w:line="142" w:lineRule="exact"/>
              <w:rPr>
                <w:sz w:val="20"/>
                <w:szCs w:val="20"/>
                <w:color w:val="auto"/>
              </w:rPr>
            </w:pPr>
            <w:r>
              <w:rPr>
                <w:rFonts w:ascii="Arial" w:cs="Arial" w:eastAsia="Arial" w:hAnsi="Arial"/>
                <w:sz w:val="13"/>
                <w:szCs w:val="13"/>
                <w:color w:val="auto"/>
              </w:rPr>
              <w:t>Michael Cortese</w:t>
            </w:r>
          </w:p>
        </w:tc>
      </w:tr>
      <w:tr>
        <w:trPr>
          <w:trHeight w:val="166"/>
        </w:trPr>
        <w:tc>
          <w:tcPr>
            <w:tcW w:w="2800" w:type="dxa"/>
            <w:vAlign w:val="bottom"/>
          </w:tcPr>
          <w:p>
            <w:pPr>
              <w:spacing w:after="0"/>
              <w:rPr>
                <w:sz w:val="14"/>
                <w:szCs w:val="14"/>
                <w:color w:val="auto"/>
              </w:rPr>
            </w:pPr>
          </w:p>
        </w:tc>
        <w:tc>
          <w:tcPr>
            <w:tcW w:w="2760" w:type="dxa"/>
            <w:vAlign w:val="bottom"/>
          </w:tcPr>
          <w:p>
            <w:pPr>
              <w:ind w:left="2200"/>
              <w:spacing w:after="0"/>
              <w:rPr>
                <w:sz w:val="20"/>
                <w:szCs w:val="20"/>
                <w:color w:val="auto"/>
              </w:rPr>
            </w:pPr>
            <w:r>
              <w:rPr>
                <w:rFonts w:ascii="Arial" w:cs="Arial" w:eastAsia="Arial" w:hAnsi="Arial"/>
                <w:sz w:val="13"/>
                <w:szCs w:val="13"/>
                <w:color w:val="auto"/>
              </w:rPr>
              <w:t>Title:</w:t>
            </w:r>
          </w:p>
        </w:tc>
        <w:tc>
          <w:tcPr>
            <w:tcW w:w="440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63322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3"/>
          <w:szCs w:val="13"/>
          <w:u w:val="single" w:color="auto"/>
          <w:color w:val="auto"/>
        </w:rPr>
        <w:t>Schedule 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A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245110</wp:posOffset>
            </wp:positionV>
            <wp:extent cx="63322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u w:val="single" w:color="auto"/>
          <w:color w:val="auto"/>
        </w:rPr>
        <w:t>Schedule B</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B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245110</wp:posOffset>
            </wp:positionV>
            <wp:extent cx="63322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9" w:name="page120"/>
    <w:bookmarkEnd w:id="119"/>
    <w:p>
      <w:pPr>
        <w:jc w:val="right"/>
        <w:ind w:right="39"/>
        <w:spacing w:after="0"/>
        <w:rPr>
          <w:sz w:val="20"/>
          <w:szCs w:val="20"/>
          <w:color w:val="auto"/>
        </w:rPr>
      </w:pPr>
      <w:r>
        <w:rPr>
          <w:rFonts w:ascii="Arial" w:cs="Arial" w:eastAsia="Arial" w:hAnsi="Arial"/>
          <w:sz w:val="12"/>
          <w:szCs w:val="12"/>
          <w:b w:val="1"/>
          <w:bCs w:val="1"/>
          <w:color w:val="auto"/>
        </w:rPr>
        <w:t>EXHIBIT 31.1</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James E. Ferrell, certify that:</w:t>
      </w:r>
    </w:p>
    <w:p>
      <w:pPr>
        <w:spacing w:after="0" w:line="150" w:lineRule="exact"/>
        <w:rPr>
          <w:sz w:val="20"/>
          <w:szCs w:val="20"/>
          <w:color w:val="auto"/>
        </w:rPr>
      </w:pPr>
    </w:p>
    <w:p>
      <w:pPr>
        <w:ind w:left="240" w:hanging="218"/>
        <w:spacing w:after="0"/>
        <w:tabs>
          <w:tab w:leader="none" w:pos="2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Partners, L.P.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6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6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62"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6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6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99" w:hanging="206"/>
        <w:spacing w:after="0" w:line="258" w:lineRule="auto"/>
        <w:tabs>
          <w:tab w:leader="none" w:pos="641" w:val="left"/>
        </w:tabs>
        <w:numPr>
          <w:ilvl w:val="1"/>
          <w:numId w:val="6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6"/>
              </w:rPr>
              <w:t>Chairman of the Board of Directors of Ferrellgas, Inc., general partner of the Registrant</w:t>
            </w:r>
          </w:p>
        </w:tc>
      </w:tr>
      <w:tr>
        <w:trPr>
          <w:trHeight w:val="655"/>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L.P.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Brian W. Herrmann, certify that:</w:t>
      </w:r>
    </w:p>
    <w:p>
      <w:pPr>
        <w:spacing w:after="0" w:line="150" w:lineRule="exact"/>
        <w:rPr>
          <w:sz w:val="20"/>
          <w:szCs w:val="20"/>
          <w:color w:val="auto"/>
        </w:rPr>
      </w:pPr>
    </w:p>
    <w:p>
      <w:pPr>
        <w:ind w:left="240" w:hanging="218"/>
        <w:spacing w:after="0"/>
        <w:tabs>
          <w:tab w:leader="none" w:pos="2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Partners, L.P.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99" w:hanging="206"/>
        <w:spacing w:after="0" w:line="258" w:lineRule="auto"/>
        <w:tabs>
          <w:tab w:leader="none" w:pos="641" w:val="left"/>
        </w:tabs>
        <w:numPr>
          <w:ilvl w:val="1"/>
          <w:numId w:val="7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0"/>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6"/>
              </w:rPr>
              <w:t>Interim Chief Financial Officer; Treasurer (Principal Financial and Accounting Officer) of</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Ferrellgas, Inc., general partner of the Registrant</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1" w:name="page122"/>
    <w:bookmarkEnd w:id="121"/>
    <w:p>
      <w:pPr>
        <w:jc w:val="right"/>
        <w:ind w:right="39"/>
        <w:spacing w:after="0"/>
        <w:rPr>
          <w:sz w:val="20"/>
          <w:szCs w:val="20"/>
          <w:color w:val="auto"/>
        </w:rPr>
      </w:pPr>
      <w:r>
        <w:rPr>
          <w:rFonts w:ascii="Arial" w:cs="Arial" w:eastAsia="Arial" w:hAnsi="Arial"/>
          <w:sz w:val="12"/>
          <w:szCs w:val="12"/>
          <w:b w:val="1"/>
          <w:bCs w:val="1"/>
          <w:color w:val="auto"/>
        </w:rPr>
        <w:t>EXHIBIT 31.2</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James E. Ferrell, certify that:</w:t>
      </w:r>
    </w:p>
    <w:p>
      <w:pPr>
        <w:spacing w:after="0" w:line="150" w:lineRule="exact"/>
        <w:rPr>
          <w:sz w:val="20"/>
          <w:szCs w:val="20"/>
          <w:color w:val="auto"/>
        </w:rPr>
      </w:pPr>
    </w:p>
    <w:p>
      <w:pPr>
        <w:ind w:left="240" w:hanging="218"/>
        <w:spacing w:after="0"/>
        <w:tabs>
          <w:tab w:leader="none" w:pos="2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Partners Finance Corp.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79" w:hanging="206"/>
        <w:spacing w:after="0" w:line="258" w:lineRule="auto"/>
        <w:tabs>
          <w:tab w:leader="none" w:pos="671" w:val="left"/>
        </w:tabs>
        <w:numPr>
          <w:ilvl w:val="1"/>
          <w:numId w:val="7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1"/>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r>
        <w:trPr>
          <w:trHeight w:val="655"/>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PARTNERS FINANCE CORP.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Brian W. Herrmann, certify that:</w:t>
      </w:r>
    </w:p>
    <w:p>
      <w:pPr>
        <w:spacing w:after="0" w:line="150" w:lineRule="exact"/>
        <w:rPr>
          <w:sz w:val="20"/>
          <w:szCs w:val="20"/>
          <w:color w:val="auto"/>
        </w:rPr>
      </w:pPr>
    </w:p>
    <w:p>
      <w:pPr>
        <w:ind w:left="240" w:hanging="218"/>
        <w:spacing w:after="0"/>
        <w:tabs>
          <w:tab w:leader="none" w:pos="2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Partners Finance Corp.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99" w:hanging="206"/>
        <w:spacing w:after="0" w:line="258" w:lineRule="auto"/>
        <w:tabs>
          <w:tab w:leader="none" w:pos="641" w:val="left"/>
        </w:tabs>
        <w:numPr>
          <w:ilvl w:val="1"/>
          <w:numId w:val="7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2"/>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3" w:name="page124"/>
    <w:bookmarkEnd w:id="123"/>
    <w:p>
      <w:pPr>
        <w:jc w:val="right"/>
        <w:ind w:right="39"/>
        <w:spacing w:after="0"/>
        <w:rPr>
          <w:sz w:val="20"/>
          <w:szCs w:val="20"/>
          <w:color w:val="auto"/>
        </w:rPr>
      </w:pPr>
      <w:r>
        <w:rPr>
          <w:rFonts w:ascii="Arial" w:cs="Arial" w:eastAsia="Arial" w:hAnsi="Arial"/>
          <w:sz w:val="12"/>
          <w:szCs w:val="12"/>
          <w:b w:val="1"/>
          <w:bCs w:val="1"/>
          <w:color w:val="auto"/>
        </w:rPr>
        <w:t>EXHIBIT 31.3</w:t>
      </w:r>
    </w:p>
    <w:p>
      <w:pPr>
        <w:spacing w:after="0" w:line="123"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FERRELLGAS, L.P.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James E. Ferrell, certify that:</w:t>
      </w:r>
    </w:p>
    <w:p>
      <w:pPr>
        <w:spacing w:after="0" w:line="150" w:lineRule="exact"/>
        <w:rPr>
          <w:sz w:val="20"/>
          <w:szCs w:val="20"/>
          <w:color w:val="auto"/>
        </w:rPr>
      </w:pPr>
    </w:p>
    <w:p>
      <w:pPr>
        <w:ind w:left="240" w:hanging="218"/>
        <w:spacing w:after="0"/>
        <w:tabs>
          <w:tab w:leader="none" w:pos="2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L.P.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79" w:hanging="206"/>
        <w:spacing w:after="0" w:line="258" w:lineRule="auto"/>
        <w:tabs>
          <w:tab w:leader="none" w:pos="671" w:val="left"/>
        </w:tabs>
        <w:numPr>
          <w:ilvl w:val="1"/>
          <w:numId w:val="7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4"/>
              </w:rPr>
              <w:t>Chief Executive Officer and President of Ferrellgas, Inc., the Registrant’s general partner</w:t>
            </w:r>
          </w:p>
        </w:tc>
      </w:tr>
      <w:tr>
        <w:trPr>
          <w:trHeight w:val="655"/>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4" w:name="page125"/>
    <w:bookmarkEnd w:id="124"/>
    <w:p>
      <w:pPr>
        <w:ind w:left="3980"/>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FERRELLGAS, L.P.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Brian W. Herrmann, certify that:</w:t>
      </w:r>
    </w:p>
    <w:p>
      <w:pPr>
        <w:spacing w:after="0" w:line="150" w:lineRule="exact"/>
        <w:rPr>
          <w:sz w:val="20"/>
          <w:szCs w:val="20"/>
          <w:color w:val="auto"/>
        </w:rPr>
      </w:pPr>
    </w:p>
    <w:p>
      <w:pPr>
        <w:ind w:left="240" w:hanging="218"/>
        <w:spacing w:after="0"/>
        <w:tabs>
          <w:tab w:leader="none" w:pos="2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L.P.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79" w:hanging="206"/>
        <w:spacing w:after="0" w:line="258" w:lineRule="auto"/>
        <w:tabs>
          <w:tab w:leader="none" w:pos="671" w:val="left"/>
        </w:tabs>
        <w:numPr>
          <w:ilvl w:val="1"/>
          <w:numId w:val="7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6"/>
              </w:rPr>
              <w:t>Interim Chief Financial Officer; Treasurer (Principal Financial and Accounting Officer) of</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Ferrellgas, Inc., the Registrant’s general partner</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5" w:name="page126"/>
    <w:bookmarkEnd w:id="125"/>
    <w:p>
      <w:pPr>
        <w:jc w:val="right"/>
        <w:ind w:right="39"/>
        <w:spacing w:after="0"/>
        <w:rPr>
          <w:sz w:val="20"/>
          <w:szCs w:val="20"/>
          <w:color w:val="auto"/>
        </w:rPr>
      </w:pPr>
      <w:r>
        <w:rPr>
          <w:rFonts w:ascii="Arial" w:cs="Arial" w:eastAsia="Arial" w:hAnsi="Arial"/>
          <w:sz w:val="12"/>
          <w:szCs w:val="12"/>
          <w:b w:val="1"/>
          <w:bCs w:val="1"/>
          <w:color w:val="auto"/>
        </w:rPr>
        <w:t>EXHIBIT 31.4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James E. Ferrell, certify that:</w:t>
      </w:r>
    </w:p>
    <w:p>
      <w:pPr>
        <w:spacing w:after="0" w:line="123" w:lineRule="exact"/>
        <w:rPr>
          <w:sz w:val="20"/>
          <w:szCs w:val="20"/>
          <w:color w:val="auto"/>
        </w:rPr>
      </w:pPr>
    </w:p>
    <w:p>
      <w:pPr>
        <w:ind w:left="240" w:hanging="218"/>
        <w:spacing w:after="0"/>
        <w:tabs>
          <w:tab w:leader="none" w:pos="2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Finance Corp.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2"/>
          <w:szCs w:val="12"/>
          <w:color w:val="auto"/>
        </w:rPr>
      </w:pPr>
    </w:p>
    <w:p>
      <w:pPr>
        <w:ind w:left="240" w:right="299" w:hanging="218"/>
        <w:spacing w:after="0" w:line="276" w:lineRule="auto"/>
        <w:tabs>
          <w:tab w:leader="none" w:pos="232"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79" w:hanging="206"/>
        <w:spacing w:after="0" w:line="258" w:lineRule="auto"/>
        <w:tabs>
          <w:tab w:leader="none" w:pos="671" w:val="left"/>
        </w:tabs>
        <w:numPr>
          <w:ilvl w:val="1"/>
          <w:numId w:val="7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r>
        <w:trPr>
          <w:trHeight w:val="655"/>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2"/>
          <w:szCs w:val="12"/>
          <w:b w:val="1"/>
          <w:bCs w:val="1"/>
          <w:color w:val="auto"/>
        </w:rPr>
        <w:t>CERTIFICATIONS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FERRELLGAS FINANCE CORP.</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Brian W. Herrmann, certify that:</w:t>
      </w:r>
    </w:p>
    <w:p>
      <w:pPr>
        <w:spacing w:after="0" w:line="150" w:lineRule="exact"/>
        <w:rPr>
          <w:sz w:val="20"/>
          <w:szCs w:val="20"/>
          <w:color w:val="auto"/>
        </w:rPr>
      </w:pPr>
    </w:p>
    <w:p>
      <w:pPr>
        <w:ind w:left="240" w:hanging="218"/>
        <w:spacing w:after="0"/>
        <w:tabs>
          <w:tab w:leader="none" w:pos="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 have reviewed this report on Form 10-Q for the period ended April 30, 2021 of Ferrellgas Finance Corp. (the “Registrant”);</w:t>
      </w:r>
    </w:p>
    <w:p>
      <w:pPr>
        <w:spacing w:after="0" w:line="150" w:lineRule="exact"/>
        <w:rPr>
          <w:rFonts w:ascii="Arial" w:cs="Arial" w:eastAsia="Arial" w:hAnsi="Arial"/>
          <w:sz w:val="12"/>
          <w:szCs w:val="12"/>
          <w:color w:val="auto"/>
        </w:rPr>
      </w:pPr>
    </w:p>
    <w:p>
      <w:pPr>
        <w:ind w:left="240" w:right="279" w:hanging="218"/>
        <w:spacing w:after="0" w:line="276" w:lineRule="auto"/>
        <w:tabs>
          <w:tab w:leader="none" w:pos="234"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40" w:right="359" w:hanging="218"/>
        <w:spacing w:after="0" w:line="276" w:lineRule="auto"/>
        <w:tabs>
          <w:tab w:leader="none" w:pos="234"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20" w:hanging="198"/>
        <w:spacing w:after="0"/>
        <w:tabs>
          <w:tab w:leader="none" w:pos="220" w:val="left"/>
        </w:tabs>
        <w:numPr>
          <w:ilvl w:val="0"/>
          <w:numId w:val="76"/>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2"/>
          <w:szCs w:val="12"/>
          <w:color w:val="auto"/>
        </w:rPr>
        <w:t>15d-15(e)) and internal control over financial reporting (as defined in Exchange Act Rules 13a-15(f) and 15d-15(f)) for the Registrant and have:</w:t>
      </w:r>
    </w:p>
    <w:p>
      <w:pPr>
        <w:spacing w:after="0" w:line="141" w:lineRule="exact"/>
        <w:rPr>
          <w:rFonts w:ascii="Arial" w:cs="Arial" w:eastAsia="Arial" w:hAnsi="Arial"/>
          <w:sz w:val="11"/>
          <w:szCs w:val="11"/>
          <w:color w:val="auto"/>
        </w:rPr>
      </w:pPr>
    </w:p>
    <w:p>
      <w:pPr>
        <w:ind w:left="660" w:right="39" w:hanging="206"/>
        <w:spacing w:after="0" w:line="255" w:lineRule="auto"/>
        <w:tabs>
          <w:tab w:leader="none" w:pos="647"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jc w:val="both"/>
        <w:ind w:left="660" w:right="139" w:hanging="206"/>
        <w:spacing w:after="0" w:line="250" w:lineRule="auto"/>
        <w:tabs>
          <w:tab w:leader="none" w:pos="654"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379" w:hanging="206"/>
        <w:spacing w:after="0" w:line="250" w:lineRule="auto"/>
        <w:tabs>
          <w:tab w:leader="none" w:pos="647" w:val="left"/>
        </w:tabs>
        <w:numPr>
          <w:ilvl w:val="1"/>
          <w:numId w:val="7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59" w:hanging="206"/>
        <w:spacing w:after="0" w:line="255" w:lineRule="auto"/>
        <w:tabs>
          <w:tab w:leader="none" w:pos="654" w:val="left"/>
        </w:tabs>
        <w:numPr>
          <w:ilvl w:val="1"/>
          <w:numId w:val="7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240" w:right="39" w:hanging="218"/>
        <w:spacing w:after="0" w:line="276" w:lineRule="auto"/>
        <w:tabs>
          <w:tab w:leader="none" w:pos="212"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60" w:right="79" w:hanging="206"/>
        <w:spacing w:after="0" w:line="258" w:lineRule="auto"/>
        <w:tabs>
          <w:tab w:leader="none" w:pos="671" w:val="left"/>
        </w:tabs>
        <w:numPr>
          <w:ilvl w:val="1"/>
          <w:numId w:val="7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06"/>
        <w:spacing w:after="0"/>
        <w:tabs>
          <w:tab w:leader="none" w:pos="660" w:val="left"/>
        </w:tabs>
        <w:numPr>
          <w:ilvl w:val="1"/>
          <w:numId w:val="77"/>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7" w:name="page128"/>
    <w:bookmarkEnd w:id="127"/>
    <w:p>
      <w:pPr>
        <w:jc w:val="right"/>
        <w:ind w:right="39"/>
        <w:spacing w:after="0"/>
        <w:rPr>
          <w:sz w:val="20"/>
          <w:szCs w:val="20"/>
          <w:color w:val="auto"/>
        </w:rPr>
      </w:pPr>
      <w:r>
        <w:rPr>
          <w:rFonts w:ascii="Arial" w:cs="Arial" w:eastAsia="Arial" w:hAnsi="Arial"/>
          <w:sz w:val="12"/>
          <w:szCs w:val="12"/>
          <w:b w:val="1"/>
          <w:bCs w:val="1"/>
          <w:color w:val="auto"/>
        </w:rPr>
        <w:t>EXHIBIT 32.1</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SARBANES-OXLEY ACT OF 2002</w:t>
      </w:r>
    </w:p>
    <w:p>
      <w:pPr>
        <w:spacing w:after="0" w:line="123" w:lineRule="exact"/>
        <w:rPr>
          <w:sz w:val="20"/>
          <w:szCs w:val="20"/>
          <w:color w:val="auto"/>
        </w:rPr>
      </w:pPr>
    </w:p>
    <w:p>
      <w:pPr>
        <w:jc w:val="both"/>
        <w:ind w:left="20" w:right="379" w:firstLine="432"/>
        <w:spacing w:after="0" w:line="263" w:lineRule="auto"/>
        <w:rPr>
          <w:sz w:val="20"/>
          <w:szCs w:val="20"/>
          <w:color w:val="auto"/>
        </w:rPr>
      </w:pPr>
      <w:r>
        <w:rPr>
          <w:rFonts w:ascii="Arial" w:cs="Arial" w:eastAsia="Arial" w:hAnsi="Arial"/>
          <w:sz w:val="12"/>
          <w:szCs w:val="12"/>
          <w:color w:val="auto"/>
        </w:rPr>
        <w:t>In connection with the accompanying Quarterly Report on Form 10-Q of Ferrellgas Partners, L.P. (the “Registrant”) for the period ended April 30, 2021,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95" w:lineRule="exact"/>
        <w:rPr>
          <w:sz w:val="20"/>
          <w:szCs w:val="20"/>
          <w:color w:val="auto"/>
        </w:rPr>
      </w:pPr>
    </w:p>
    <w:p>
      <w:pPr>
        <w:ind w:left="440" w:hanging="418"/>
        <w:spacing w:after="0"/>
        <w:tabs>
          <w:tab w:leader="none" w:pos="4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23" w:lineRule="exact"/>
        <w:rPr>
          <w:rFonts w:ascii="Arial" w:cs="Arial" w:eastAsia="Arial" w:hAnsi="Arial"/>
          <w:sz w:val="12"/>
          <w:szCs w:val="12"/>
          <w:color w:val="auto"/>
        </w:rPr>
      </w:pPr>
    </w:p>
    <w:p>
      <w:pPr>
        <w:ind w:left="440" w:hanging="418"/>
        <w:spacing w:after="0"/>
        <w:tabs>
          <w:tab w:leader="none" w:pos="4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32" w:lineRule="exact"/>
        <w:rPr>
          <w:sz w:val="20"/>
          <w:szCs w:val="20"/>
          <w:color w:val="auto"/>
        </w:rPr>
      </w:pPr>
    </w:p>
    <w:p>
      <w:pPr>
        <w:ind w:left="20" w:right="179" w:firstLine="432"/>
        <w:spacing w:after="0" w:line="276" w:lineRule="auto"/>
        <w:rPr>
          <w:sz w:val="20"/>
          <w:szCs w:val="20"/>
          <w:color w:val="auto"/>
        </w:rPr>
      </w:pPr>
      <w:r>
        <w:rPr>
          <w:rFonts w:ascii="Arial" w:cs="Arial" w:eastAsia="Arial" w:hAnsi="Arial"/>
          <w:sz w:val="12"/>
          <w:szCs w:val="12"/>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8" w:lineRule="exact"/>
        <w:rPr>
          <w:sz w:val="20"/>
          <w:szCs w:val="20"/>
          <w:color w:val="auto"/>
        </w:rPr>
      </w:pPr>
    </w:p>
    <w:p>
      <w:pPr>
        <w:jc w:val="both"/>
        <w:ind w:left="20" w:right="99" w:firstLine="432"/>
        <w:spacing w:after="0" w:line="298" w:lineRule="auto"/>
        <w:rPr>
          <w:sz w:val="20"/>
          <w:szCs w:val="20"/>
          <w:color w:val="auto"/>
        </w:rPr>
      </w:pPr>
      <w:r>
        <w:rPr>
          <w:rFonts w:ascii="Arial" w:cs="Arial" w:eastAsia="Arial" w:hAnsi="Arial"/>
          <w:sz w:val="11"/>
          <w:szCs w:val="11"/>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5"/>
              </w:rPr>
              <w:t>Chief Executive Officer and President; Chairman of the Board of Directors of Ferrellgas,</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Inc., general partner of the Registrant</w:t>
            </w:r>
          </w:p>
        </w:tc>
      </w:tr>
      <w:tr>
        <w:trPr>
          <w:trHeight w:val="288"/>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6"/>
              </w:rPr>
              <w:t>Interim Chief Financial Officer; Treasurer (Principal Financial and Accounting Officer) of</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Ferrellgas, Inc., general partner of the Registrant</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8" w:name="page129"/>
    <w:bookmarkEnd w:id="128"/>
    <w:p>
      <w:pPr>
        <w:jc w:val="right"/>
        <w:ind w:right="39"/>
        <w:spacing w:after="0"/>
        <w:rPr>
          <w:sz w:val="20"/>
          <w:szCs w:val="20"/>
          <w:color w:val="auto"/>
        </w:rPr>
      </w:pPr>
      <w:r>
        <w:rPr>
          <w:rFonts w:ascii="Arial" w:cs="Arial" w:eastAsia="Arial" w:hAnsi="Arial"/>
          <w:sz w:val="12"/>
          <w:szCs w:val="12"/>
          <w:b w:val="1"/>
          <w:bCs w:val="1"/>
          <w:color w:val="auto"/>
        </w:rPr>
        <w:t>EXHIBIT 32.2</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SARBANES-OXLEY ACT OF 2002</w:t>
      </w:r>
    </w:p>
    <w:p>
      <w:pPr>
        <w:spacing w:after="0" w:line="123" w:lineRule="exact"/>
        <w:rPr>
          <w:sz w:val="20"/>
          <w:szCs w:val="20"/>
          <w:color w:val="auto"/>
        </w:rPr>
      </w:pPr>
    </w:p>
    <w:p>
      <w:pPr>
        <w:ind w:left="20" w:right="39" w:firstLine="432"/>
        <w:spacing w:after="0" w:line="263" w:lineRule="auto"/>
        <w:rPr>
          <w:sz w:val="20"/>
          <w:szCs w:val="20"/>
          <w:color w:val="auto"/>
        </w:rPr>
      </w:pPr>
      <w:r>
        <w:rPr>
          <w:rFonts w:ascii="Arial" w:cs="Arial" w:eastAsia="Arial" w:hAnsi="Arial"/>
          <w:sz w:val="12"/>
          <w:szCs w:val="12"/>
          <w:color w:val="auto"/>
        </w:rPr>
        <w:t>In connection with the accompanying Quarterly Report on Form 10-Q of Ferrellgas Partners Finance Corp. for the period ended April 30, 2021,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95" w:lineRule="exact"/>
        <w:rPr>
          <w:sz w:val="20"/>
          <w:szCs w:val="20"/>
          <w:color w:val="auto"/>
        </w:rPr>
      </w:pPr>
    </w:p>
    <w:p>
      <w:pPr>
        <w:ind w:left="440" w:hanging="418"/>
        <w:spacing w:after="0"/>
        <w:tabs>
          <w:tab w:leader="none" w:pos="4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23" w:lineRule="exact"/>
        <w:rPr>
          <w:rFonts w:ascii="Arial" w:cs="Arial" w:eastAsia="Arial" w:hAnsi="Arial"/>
          <w:sz w:val="12"/>
          <w:szCs w:val="12"/>
          <w:color w:val="auto"/>
        </w:rPr>
      </w:pPr>
    </w:p>
    <w:p>
      <w:pPr>
        <w:ind w:left="440" w:hanging="418"/>
        <w:spacing w:after="0"/>
        <w:tabs>
          <w:tab w:leader="none" w:pos="440"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Ferrellgas Partners Finance Corp.</w:t>
      </w:r>
    </w:p>
    <w:p>
      <w:pPr>
        <w:spacing w:after="0" w:line="144" w:lineRule="exact"/>
        <w:rPr>
          <w:sz w:val="20"/>
          <w:szCs w:val="20"/>
          <w:color w:val="auto"/>
        </w:rPr>
      </w:pPr>
    </w:p>
    <w:p>
      <w:pPr>
        <w:ind w:left="20" w:right="179" w:firstLine="432"/>
        <w:spacing w:after="0" w:line="276" w:lineRule="auto"/>
        <w:rPr>
          <w:sz w:val="20"/>
          <w:szCs w:val="20"/>
          <w:color w:val="auto"/>
        </w:rPr>
      </w:pPr>
      <w:r>
        <w:rPr>
          <w:rFonts w:ascii="Arial" w:cs="Arial" w:eastAsia="Arial" w:hAnsi="Arial"/>
          <w:sz w:val="12"/>
          <w:szCs w:val="12"/>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8" w:lineRule="exact"/>
        <w:rPr>
          <w:sz w:val="20"/>
          <w:szCs w:val="20"/>
          <w:color w:val="auto"/>
        </w:rPr>
      </w:pPr>
    </w:p>
    <w:p>
      <w:pPr>
        <w:jc w:val="both"/>
        <w:ind w:left="20" w:right="99" w:firstLine="432"/>
        <w:spacing w:after="0" w:line="298" w:lineRule="auto"/>
        <w:rPr>
          <w:sz w:val="20"/>
          <w:szCs w:val="20"/>
          <w:color w:val="auto"/>
        </w:rPr>
      </w:pPr>
      <w:r>
        <w:rPr>
          <w:rFonts w:ascii="Arial" w:cs="Arial" w:eastAsia="Arial" w:hAnsi="Arial"/>
          <w:sz w:val="11"/>
          <w:szCs w:val="11"/>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Partners Finance Corp. or other filing of Ferrellgas Partners Finance Corp. made pursuant to the Exchange Act or Securities Act of 1933, as amended, unless specifically identified as being incorporated therein by reference.</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r>
        <w:trPr>
          <w:trHeight w:val="288"/>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511"/>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29" w:name="page130"/>
    <w:bookmarkEnd w:id="129"/>
    <w:p>
      <w:pPr>
        <w:jc w:val="right"/>
        <w:ind w:right="39"/>
        <w:spacing w:after="0"/>
        <w:rPr>
          <w:sz w:val="20"/>
          <w:szCs w:val="20"/>
          <w:color w:val="auto"/>
        </w:rPr>
      </w:pPr>
      <w:r>
        <w:rPr>
          <w:rFonts w:ascii="Arial" w:cs="Arial" w:eastAsia="Arial" w:hAnsi="Arial"/>
          <w:sz w:val="12"/>
          <w:szCs w:val="12"/>
          <w:b w:val="1"/>
          <w:bCs w:val="1"/>
          <w:color w:val="auto"/>
        </w:rPr>
        <w:t>EXHIBIT 32.3</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SARBANES-OXLEY ACT OF 2002</w:t>
      </w:r>
    </w:p>
    <w:p>
      <w:pPr>
        <w:spacing w:after="0" w:line="141" w:lineRule="exact"/>
        <w:rPr>
          <w:sz w:val="20"/>
          <w:szCs w:val="20"/>
          <w:color w:val="auto"/>
        </w:rPr>
      </w:pPr>
    </w:p>
    <w:p>
      <w:pPr>
        <w:ind w:left="20" w:right="39" w:firstLine="432"/>
        <w:spacing w:after="0" w:line="263" w:lineRule="auto"/>
        <w:rPr>
          <w:sz w:val="20"/>
          <w:szCs w:val="20"/>
          <w:color w:val="auto"/>
        </w:rPr>
      </w:pPr>
      <w:r>
        <w:rPr>
          <w:rFonts w:ascii="Arial" w:cs="Arial" w:eastAsia="Arial" w:hAnsi="Arial"/>
          <w:sz w:val="12"/>
          <w:szCs w:val="12"/>
          <w:color w:val="auto"/>
        </w:rPr>
        <w:t>In connection with the accompanying Quarterly Report on Form 10-Q of Ferrellgas, L.P. (the “Registrant”) for the period ended April 30, 2021,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04" w:lineRule="exact"/>
        <w:rPr>
          <w:sz w:val="20"/>
          <w:szCs w:val="20"/>
          <w:color w:val="auto"/>
        </w:rPr>
      </w:pPr>
    </w:p>
    <w:p>
      <w:pPr>
        <w:ind w:left="440" w:hanging="418"/>
        <w:spacing w:after="0"/>
        <w:tabs>
          <w:tab w:leader="none" w:pos="4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23" w:lineRule="exact"/>
        <w:rPr>
          <w:rFonts w:ascii="Arial" w:cs="Arial" w:eastAsia="Arial" w:hAnsi="Arial"/>
          <w:sz w:val="12"/>
          <w:szCs w:val="12"/>
          <w:color w:val="auto"/>
        </w:rPr>
      </w:pPr>
    </w:p>
    <w:p>
      <w:pPr>
        <w:ind w:left="440" w:hanging="418"/>
        <w:spacing w:after="0"/>
        <w:tabs>
          <w:tab w:leader="none" w:pos="4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23" w:lineRule="exact"/>
        <w:rPr>
          <w:sz w:val="20"/>
          <w:szCs w:val="20"/>
          <w:color w:val="auto"/>
        </w:rPr>
      </w:pPr>
    </w:p>
    <w:p>
      <w:pPr>
        <w:ind w:left="20" w:right="179" w:firstLine="432"/>
        <w:spacing w:after="0" w:line="276" w:lineRule="auto"/>
        <w:rPr>
          <w:sz w:val="20"/>
          <w:szCs w:val="20"/>
          <w:color w:val="auto"/>
        </w:rPr>
      </w:pPr>
      <w:r>
        <w:rPr>
          <w:rFonts w:ascii="Arial" w:cs="Arial" w:eastAsia="Arial" w:hAnsi="Arial"/>
          <w:sz w:val="12"/>
          <w:szCs w:val="12"/>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97" w:lineRule="exact"/>
        <w:rPr>
          <w:sz w:val="20"/>
          <w:szCs w:val="20"/>
          <w:color w:val="auto"/>
        </w:rPr>
      </w:pPr>
    </w:p>
    <w:p>
      <w:pPr>
        <w:jc w:val="both"/>
        <w:ind w:left="20" w:right="99" w:firstLine="432"/>
        <w:spacing w:after="0" w:line="298" w:lineRule="auto"/>
        <w:rPr>
          <w:sz w:val="20"/>
          <w:szCs w:val="20"/>
          <w:color w:val="auto"/>
        </w:rPr>
      </w:pPr>
      <w:r>
        <w:rPr>
          <w:rFonts w:ascii="Arial" w:cs="Arial" w:eastAsia="Arial" w:hAnsi="Arial"/>
          <w:sz w:val="11"/>
          <w:szCs w:val="11"/>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4"/>
              </w:rPr>
              <w:t>Chief Executive Officer and President of Ferrellgas, Inc., the Registrant’s general partner</w:t>
            </w:r>
          </w:p>
        </w:tc>
      </w:tr>
      <w:tr>
        <w:trPr>
          <w:trHeight w:val="288"/>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44"/>
        </w:trPr>
        <w:tc>
          <w:tcPr>
            <w:tcW w:w="448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6"/>
              </w:rPr>
              <w:t>Interim Chief Financial Officer; Treasurer (Principal Financial and Accounting Officer) of</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Ferrellgas, Inc., the Registrant’s general partner</w:t>
            </w:r>
          </w:p>
        </w:tc>
      </w:tr>
      <w:tr>
        <w:trPr>
          <w:trHeight w:val="504"/>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30" w:name="page131"/>
    <w:bookmarkEnd w:id="130"/>
    <w:p>
      <w:pPr>
        <w:jc w:val="right"/>
        <w:ind w:right="39"/>
        <w:spacing w:after="0"/>
        <w:rPr>
          <w:sz w:val="20"/>
          <w:szCs w:val="20"/>
          <w:color w:val="auto"/>
        </w:rPr>
      </w:pPr>
      <w:r>
        <w:rPr>
          <w:rFonts w:ascii="Arial" w:cs="Arial" w:eastAsia="Arial" w:hAnsi="Arial"/>
          <w:sz w:val="12"/>
          <w:szCs w:val="12"/>
          <w:b w:val="1"/>
          <w:bCs w:val="1"/>
          <w:color w:val="auto"/>
        </w:rPr>
        <w:t>EXHIBIT 32.4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SARBANES-OXLEY ACT OF 2002</w:t>
      </w:r>
    </w:p>
    <w:p>
      <w:pPr>
        <w:spacing w:after="0" w:line="141" w:lineRule="exact"/>
        <w:rPr>
          <w:sz w:val="20"/>
          <w:szCs w:val="20"/>
          <w:color w:val="auto"/>
        </w:rPr>
      </w:pPr>
    </w:p>
    <w:p>
      <w:pPr>
        <w:ind w:left="20" w:right="79" w:firstLine="432"/>
        <w:spacing w:after="0" w:line="263" w:lineRule="auto"/>
        <w:rPr>
          <w:sz w:val="20"/>
          <w:szCs w:val="20"/>
          <w:color w:val="auto"/>
        </w:rPr>
      </w:pPr>
      <w:r>
        <w:rPr>
          <w:rFonts w:ascii="Arial" w:cs="Arial" w:eastAsia="Arial" w:hAnsi="Arial"/>
          <w:sz w:val="12"/>
          <w:szCs w:val="12"/>
          <w:color w:val="auto"/>
        </w:rPr>
        <w:t>In connection with the accompanying Quarterly Report on Form 10-Q of Ferrellgas Finance Corp. for the period ended April 30, 2021,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04" w:lineRule="exact"/>
        <w:rPr>
          <w:sz w:val="20"/>
          <w:szCs w:val="20"/>
          <w:color w:val="auto"/>
        </w:rPr>
      </w:pPr>
    </w:p>
    <w:p>
      <w:pPr>
        <w:ind w:left="440" w:hanging="418"/>
        <w:spacing w:after="0"/>
        <w:tabs>
          <w:tab w:leader="none" w:pos="4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23" w:lineRule="exact"/>
        <w:rPr>
          <w:rFonts w:ascii="Arial" w:cs="Arial" w:eastAsia="Arial" w:hAnsi="Arial"/>
          <w:sz w:val="12"/>
          <w:szCs w:val="12"/>
          <w:color w:val="auto"/>
        </w:rPr>
      </w:pPr>
    </w:p>
    <w:p>
      <w:pPr>
        <w:ind w:left="440" w:hanging="418"/>
        <w:spacing w:after="0"/>
        <w:tabs>
          <w:tab w:leader="none" w:pos="4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Ferrellgas Finance Corp.</w:t>
      </w:r>
    </w:p>
    <w:p>
      <w:pPr>
        <w:spacing w:after="0" w:line="123" w:lineRule="exact"/>
        <w:rPr>
          <w:sz w:val="20"/>
          <w:szCs w:val="20"/>
          <w:color w:val="auto"/>
        </w:rPr>
      </w:pPr>
    </w:p>
    <w:p>
      <w:pPr>
        <w:ind w:left="20" w:right="179" w:firstLine="432"/>
        <w:spacing w:after="0" w:line="276" w:lineRule="auto"/>
        <w:rPr>
          <w:sz w:val="20"/>
          <w:szCs w:val="20"/>
          <w:color w:val="auto"/>
        </w:rPr>
      </w:pPr>
      <w:r>
        <w:rPr>
          <w:rFonts w:ascii="Arial" w:cs="Arial" w:eastAsia="Arial" w:hAnsi="Arial"/>
          <w:sz w:val="12"/>
          <w:szCs w:val="12"/>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97" w:lineRule="exact"/>
        <w:rPr>
          <w:sz w:val="20"/>
          <w:szCs w:val="20"/>
          <w:color w:val="auto"/>
        </w:rPr>
      </w:pPr>
    </w:p>
    <w:p>
      <w:pPr>
        <w:jc w:val="both"/>
        <w:ind w:left="20" w:right="99" w:firstLine="432"/>
        <w:spacing w:after="0" w:line="298" w:lineRule="auto"/>
        <w:rPr>
          <w:sz w:val="20"/>
          <w:szCs w:val="20"/>
          <w:color w:val="auto"/>
        </w:rPr>
      </w:pPr>
      <w:r>
        <w:rPr>
          <w:rFonts w:ascii="Arial" w:cs="Arial" w:eastAsia="Arial" w:hAnsi="Arial"/>
          <w:sz w:val="11"/>
          <w:szCs w:val="11"/>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Finance Corp. or other filing of Ferrellgas Finance Corp. made pursuant to the Exchange Act or Securities Act of 1933, as amended, unless specifically identified as being incorporated therein by reference.</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E. Ferrell</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James E. Ferrell</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r>
        <w:trPr>
          <w:trHeight w:val="288"/>
        </w:trPr>
        <w:tc>
          <w:tcPr>
            <w:tcW w:w="4480" w:type="dxa"/>
            <w:vAlign w:val="bottom"/>
          </w:tcPr>
          <w:p>
            <w:pPr>
              <w:spacing w:after="0"/>
              <w:rPr>
                <w:sz w:val="20"/>
                <w:szCs w:val="20"/>
                <w:color w:val="auto"/>
              </w:rPr>
            </w:pPr>
            <w:r>
              <w:rPr>
                <w:rFonts w:ascii="Arial" w:cs="Arial" w:eastAsia="Arial" w:hAnsi="Arial"/>
                <w:sz w:val="12"/>
                <w:szCs w:val="12"/>
                <w:color w:val="auto"/>
              </w:rPr>
              <w:t>Dated: June 14,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W. Herrmann</w:t>
            </w:r>
          </w:p>
        </w:tc>
      </w:tr>
      <w:tr>
        <w:trPr>
          <w:trHeight w:val="124"/>
        </w:trPr>
        <w:tc>
          <w:tcPr>
            <w:tcW w:w="4480" w:type="dxa"/>
            <w:vAlign w:val="bottom"/>
          </w:tcPr>
          <w:p>
            <w:pPr>
              <w:spacing w:after="0"/>
              <w:rPr>
                <w:sz w:val="10"/>
                <w:szCs w:val="10"/>
                <w:color w:val="auto"/>
              </w:rPr>
            </w:pPr>
          </w:p>
        </w:tc>
        <w:tc>
          <w:tcPr>
            <w:tcW w:w="4480" w:type="dxa"/>
            <w:vAlign w:val="bottom"/>
          </w:tcPr>
          <w:p>
            <w:pPr>
              <w:spacing w:after="0" w:line="124" w:lineRule="exact"/>
              <w:rPr>
                <w:sz w:val="20"/>
                <w:szCs w:val="20"/>
                <w:color w:val="auto"/>
              </w:rPr>
            </w:pPr>
            <w:r>
              <w:rPr>
                <w:rFonts w:ascii="Arial" w:cs="Arial" w:eastAsia="Arial" w:hAnsi="Arial"/>
                <w:sz w:val="12"/>
                <w:szCs w:val="12"/>
                <w:color w:val="auto"/>
              </w:rPr>
              <w:t>Brian W. Herrmann</w:t>
            </w:r>
          </w:p>
        </w:tc>
      </w:tr>
      <w:tr>
        <w:trPr>
          <w:trHeight w:val="153"/>
        </w:trPr>
        <w:tc>
          <w:tcPr>
            <w:tcW w:w="44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Interim Chief Financial Officer and Sole Director</w:t>
            </w:r>
          </w:p>
        </w:tc>
      </w:tr>
      <w:tr>
        <w:trPr>
          <w:trHeight w:val="504"/>
        </w:trPr>
        <w:tc>
          <w:tcPr>
            <w:tcW w:w="4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upperLetter"/>
      <w:start w:val="1"/>
    </w:lvl>
  </w:abstractNum>
  <w:abstractNum w:abstractNumId="3">
    <w:nsid w:val="6A2342EC"/>
    <w:multiLevelType w:val="hybridMultilevel"/>
    <w:lvl w:ilvl="0">
      <w:lvlJc w:val="left"/>
      <w:lvlText w:val="%1."/>
      <w:numFmt w:val="upperLetter"/>
      <w:start w:val="2"/>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upperLetter"/>
      <w:start w:val="3"/>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upperLetter"/>
      <w:start w:val="4"/>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lowerLetter"/>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3"/>
    </w:lvl>
  </w:abstractNum>
  <w:abstractNum w:abstractNumId="12">
    <w:nsid w:val="6DE91B18"/>
    <w:multiLevelType w:val="hybridMultilevel"/>
    <w:lvl w:ilvl="0">
      <w:lvlJc w:val="left"/>
      <w:lvlText w:val="%1."/>
      <w:numFmt w:val="upperLetter"/>
      <w:start w:val="7"/>
    </w:lvl>
  </w:abstractNum>
  <w:abstractNum w:abstractNumId="13">
    <w:nsid w:val="38437FDB"/>
    <w:multiLevelType w:val="hybridMultilevel"/>
    <w:lvl w:ilvl="0">
      <w:lvlJc w:val="left"/>
      <w:lvlText w:val="(%1)"/>
      <w:numFmt w:val="lowerRoman"/>
      <w:start w:val="2"/>
    </w:lvl>
  </w:abstractNum>
  <w:abstractNum w:abstractNumId="14">
    <w:nsid w:val="7644A45C"/>
    <w:multiLevelType w:val="hybridMultilevel"/>
    <w:lvl w:ilvl="0">
      <w:lvlJc w:val="left"/>
      <w:lvlText w:val="(%1)"/>
      <w:numFmt w:val="lowerRoman"/>
      <w:start w:val="2"/>
    </w:lvl>
  </w:abstractNum>
  <w:abstractNum w:abstractNumId="15">
    <w:nsid w:val="32FFF902"/>
    <w:multiLevelType w:val="hybridMultilevel"/>
    <w:lvl w:ilvl="0">
      <w:lvlJc w:val="left"/>
      <w:lvlText w:val="%1."/>
      <w:numFmt w:val="upperLetter"/>
      <w:start w:val="8"/>
    </w:lvl>
  </w:abstractNum>
  <w:abstractNum w:abstractNumId="16">
    <w:nsid w:val="684A481A"/>
    <w:multiLevelType w:val="hybridMultilevel"/>
    <w:lvl w:ilvl="0">
      <w:lvlJc w:val="left"/>
      <w:lvlText w:val="(%1)"/>
      <w:numFmt w:val="lowerRoman"/>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upperLetter"/>
      <w:start w:val="9"/>
    </w:lvl>
  </w:abstractNum>
  <w:abstractNum w:abstractNumId="19">
    <w:nsid w:val="3DC240FB"/>
    <w:multiLevelType w:val="hybridMultilevel"/>
    <w:lvl w:ilvl="0">
      <w:lvlJc w:val="left"/>
      <w:lvlText w:val="%1."/>
      <w:numFmt w:val="upperLetter"/>
      <w:start w:val="10"/>
    </w:lvl>
  </w:abstractNum>
  <w:abstractNum w:abstractNumId="20">
    <w:nsid w:val="1BA026FA"/>
    <w:multiLevelType w:val="hybridMultilevel"/>
    <w:lvl w:ilvl="0">
      <w:lvlJc w:val="left"/>
      <w:lvlText w:val="%1."/>
      <w:numFmt w:val="upperLetter"/>
      <w:start w:val="11"/>
    </w:lvl>
  </w:abstractNum>
  <w:abstractNum w:abstractNumId="21">
    <w:nsid w:val="79A1DEAA"/>
    <w:multiLevelType w:val="hybridMultilevel"/>
    <w:lvl w:ilvl="0">
      <w:lvlJc w:val="left"/>
      <w:lvlText w:val="%1."/>
      <w:numFmt w:val="upperLetter"/>
      <w:start w:val="12"/>
    </w:lvl>
  </w:abstractNum>
  <w:abstractNum w:abstractNumId="22">
    <w:nsid w:val="75C6C33A"/>
    <w:multiLevelType w:val="hybridMultilevel"/>
    <w:lvl w:ilvl="0">
      <w:lvlJc w:val="left"/>
      <w:lvlText w:val="%1."/>
      <w:numFmt w:val="upperLetter"/>
      <w:start w:val="13"/>
    </w:lvl>
  </w:abstractNum>
  <w:abstractNum w:abstractNumId="23">
    <w:nsid w:val="12E685FB"/>
    <w:multiLevelType w:val="hybridMultilevel"/>
    <w:lvl w:ilvl="0">
      <w:lvlJc w:val="left"/>
      <w:lvlText w:val="%1."/>
      <w:numFmt w:val="upperLetter"/>
      <w:start w:val="14"/>
    </w:lvl>
  </w:abstractNum>
  <w:abstractNum w:abstractNumId="24">
    <w:nsid w:val="70C6A529"/>
    <w:multiLevelType w:val="hybridMultilevel"/>
    <w:lvl w:ilvl="0">
      <w:lvlJc w:val="left"/>
      <w:lvlText w:val="%1."/>
      <w:numFmt w:val="upperLetter"/>
      <w:start w:val="15"/>
    </w:lvl>
  </w:abstractNum>
  <w:abstractNum w:abstractNumId="25">
    <w:nsid w:val="520EEDD1"/>
    <w:multiLevelType w:val="hybridMultilevel"/>
    <w:lvl w:ilvl="0">
      <w:lvlJc w:val="left"/>
      <w:lvlText w:val="%1."/>
      <w:numFmt w:val="upperLetter"/>
      <w:start w:val="1"/>
    </w:lvl>
  </w:abstractNum>
  <w:abstractNum w:abstractNumId="26">
    <w:nsid w:val="374A3FE6"/>
    <w:multiLevelType w:val="hybridMultilevel"/>
    <w:lvl w:ilvl="0">
      <w:lvlJc w:val="left"/>
      <w:lvlText w:val="%1."/>
      <w:numFmt w:val="upperLetter"/>
      <w:start w:val="2"/>
    </w:lvl>
  </w:abstractNum>
  <w:abstractNum w:abstractNumId="27">
    <w:nsid w:val="4F4EF005"/>
    <w:multiLevelType w:val="hybridMultilevel"/>
    <w:lvl w:ilvl="0">
      <w:lvlJc w:val="left"/>
      <w:lvlText w:val="%1."/>
      <w:numFmt w:val="upperLetter"/>
      <w:start w:val="3"/>
    </w:lvl>
  </w:abstractNum>
  <w:abstractNum w:abstractNumId="28">
    <w:nsid w:val="23F9C13C"/>
    <w:multiLevelType w:val="hybridMultilevel"/>
    <w:lvl w:ilvl="0">
      <w:lvlJc w:val="left"/>
      <w:lvlText w:val="%1."/>
      <w:numFmt w:val="upperLetter"/>
      <w:start w:val="1"/>
    </w:lvl>
  </w:abstractNum>
  <w:abstractNum w:abstractNumId="29">
    <w:nsid w:val="649BB77C"/>
    <w:multiLevelType w:val="hybridMultilevel"/>
    <w:lvl w:ilvl="0">
      <w:lvlJc w:val="left"/>
      <w:lvlText w:val="%1."/>
      <w:numFmt w:val="upperLetter"/>
      <w:start w:val="2"/>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upperLetter"/>
      <w:start w:val="3"/>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upperLetter"/>
      <w:start w:val="4"/>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3"/>
    </w:lvl>
  </w:abstractNum>
  <w:abstractNum w:abstractNumId="38">
    <w:nsid w:val="741226BB"/>
    <w:multiLevelType w:val="hybridMultilevel"/>
    <w:lvl w:ilvl="0">
      <w:lvlJc w:val="left"/>
      <w:lvlText w:val="%1."/>
      <w:numFmt w:val="upperLetter"/>
      <w:start w:val="7"/>
    </w:lvl>
  </w:abstractNum>
  <w:abstractNum w:abstractNumId="39">
    <w:nsid w:val="D34B6A8"/>
    <w:multiLevelType w:val="hybridMultilevel"/>
    <w:lvl w:ilvl="0">
      <w:lvlJc w:val="left"/>
      <w:lvlText w:val="(%1)"/>
      <w:numFmt w:val="lowerRoman"/>
      <w:start w:val="2"/>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1."/>
      <w:numFmt w:val="upperLetter"/>
      <w:start w:val="9"/>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upperLetter"/>
      <w:start w:val="10"/>
    </w:lvl>
  </w:abstractNum>
  <w:abstractNum w:abstractNumId="44">
    <w:nsid w:val="77AE35EB"/>
    <w:multiLevelType w:val="hybridMultilevel"/>
    <w:lvl w:ilvl="0">
      <w:lvlJc w:val="left"/>
      <w:lvlText w:val="%1."/>
      <w:numFmt w:val="upperLetter"/>
      <w:start w:val="11"/>
    </w:lvl>
  </w:abstractNum>
  <w:abstractNum w:abstractNumId="45">
    <w:nsid w:val="579BE4F1"/>
    <w:multiLevelType w:val="hybridMultilevel"/>
    <w:lvl w:ilvl="0">
      <w:lvlJc w:val="left"/>
      <w:lvlText w:val="%1."/>
      <w:numFmt w:val="upperLetter"/>
      <w:start w:val="12"/>
    </w:lvl>
  </w:abstractNum>
  <w:abstractNum w:abstractNumId="46">
    <w:nsid w:val="310C50B3"/>
    <w:multiLevelType w:val="hybridMultilevel"/>
    <w:lvl w:ilvl="0">
      <w:lvlJc w:val="left"/>
      <w:lvlText w:val="%1."/>
      <w:numFmt w:val="upperLetter"/>
      <w:start w:val="13"/>
    </w:lvl>
  </w:abstractNum>
  <w:abstractNum w:abstractNumId="47">
    <w:nsid w:val="5FF87E05"/>
    <w:multiLevelType w:val="hybridMultilevel"/>
    <w:lvl w:ilvl="0">
      <w:lvlJc w:val="left"/>
      <w:lvlText w:val="%1."/>
      <w:numFmt w:val="upperLetter"/>
      <w:start w:val="14"/>
    </w:lvl>
  </w:abstractNum>
  <w:abstractNum w:abstractNumId="48">
    <w:nsid w:val="2F305DEF"/>
    <w:multiLevelType w:val="hybridMultilevel"/>
    <w:lvl w:ilvl="0">
      <w:lvlJc w:val="left"/>
      <w:lvlText w:val="%1."/>
      <w:numFmt w:val="upperLetter"/>
      <w:start w:val="1"/>
    </w:lvl>
  </w:abstractNum>
  <w:abstractNum w:abstractNumId="49">
    <w:nsid w:val="25A70BF7"/>
    <w:multiLevelType w:val="hybridMultilevel"/>
    <w:lvl w:ilvl="0">
      <w:lvlJc w:val="left"/>
      <w:lvlText w:val="%1."/>
      <w:numFmt w:val="upperLetter"/>
      <w:start w:val="2"/>
    </w:lvl>
  </w:abstractNum>
  <w:abstractNum w:abstractNumId="50">
    <w:nsid w:val="1DBABF00"/>
    <w:multiLevelType w:val="hybridMultilevel"/>
    <w:lvl w:ilvl="0">
      <w:lvlJc w:val="left"/>
      <w:lvlText w:val="(%1)"/>
      <w:numFmt w:val="lowerRoman"/>
      <w:start w:val="3"/>
    </w:lvl>
  </w:abstractNum>
  <w:abstractNum w:abstractNumId="51">
    <w:nsid w:val="4AD084E9"/>
    <w:multiLevelType w:val="hybridMultilevel"/>
    <w:lvl w:ilvl="0">
      <w:lvlJc w:val="left"/>
      <w:lvlText w:val="%1."/>
      <w:numFmt w:val="upp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upperLetter"/>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abstractNum>
  <w:abstractNum w:abstractNumId="69">
    <w:nsid w:val="51D9C564"/>
    <w:multiLevelType w:val="hybridMultilevel"/>
    <w:lvl w:ilvl="0">
      <w:lvlJc w:val="left"/>
      <w:lvlText w:val="%1."/>
      <w:numFmt w:val="decimal"/>
      <w:start w:val="1"/>
    </w:lvl>
    <w:lvl w:ilvl="1">
      <w:lvlJc w:val="left"/>
      <w:lvlText w:val="%2."/>
      <w:numFmt w:val="lowerLetter"/>
      <w:start w:val="1"/>
    </w:lvl>
  </w:abstractNum>
  <w:abstractNum w:abstractNumId="70">
    <w:nsid w:val="613EFDC5"/>
    <w:multiLevelType w:val="hybridMultilevel"/>
    <w:lvl w:ilvl="0">
      <w:lvlJc w:val="left"/>
      <w:lvlText w:val="%1."/>
      <w:numFmt w:val="decimal"/>
      <w:start w:val="1"/>
    </w:lvl>
    <w:lvl w:ilvl="1">
      <w:lvlJc w:val="left"/>
      <w:lvlText w:val="%2."/>
      <w:numFmt w:val="lowerLetter"/>
      <w:start w:val="1"/>
    </w:lvl>
  </w:abstractNum>
  <w:abstractNum w:abstractNumId="71">
    <w:nsid w:val="BF72B14"/>
    <w:multiLevelType w:val="hybridMultilevel"/>
    <w:lvl w:ilvl="0">
      <w:lvlJc w:val="left"/>
      <w:lvlText w:val="%1."/>
      <w:numFmt w:val="decimal"/>
      <w:start w:val="1"/>
    </w:lvl>
    <w:lvl w:ilvl="1">
      <w:lvlJc w:val="left"/>
      <w:lvlText w:val="%2."/>
      <w:numFmt w:val="lowerLetter"/>
      <w:start w:val="1"/>
    </w:lvl>
  </w:abstractNum>
  <w:abstractNum w:abstractNumId="72">
    <w:nsid w:val="11447B73"/>
    <w:multiLevelType w:val="hybridMultilevel"/>
    <w:lvl w:ilvl="0">
      <w:lvlJc w:val="left"/>
      <w:lvlText w:val="%1."/>
      <w:numFmt w:val="decimal"/>
      <w:start w:val="1"/>
    </w:lvl>
    <w:lvl w:ilvl="1">
      <w:lvlJc w:val="left"/>
      <w:lvlText w:val="%2."/>
      <w:numFmt w:val="lowerLetter"/>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1"/>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5"/>
    </w:lvl>
    <w:lvl w:ilvl="1">
      <w:lvlJc w:val="left"/>
      <w:lvlText w:val="%2."/>
      <w:numFmt w:val="lowerLetter"/>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96" Type="http://schemas.openxmlformats.org/officeDocument/2006/relationships/hyperlink" Target="https://www.sec.gov/Archives/edgar/data/922359/000155837021002550/fgp-20210131ex991e80e5d.htm" TargetMode="External"/><Relationship Id="rId97" Type="http://schemas.openxmlformats.org/officeDocument/2006/relationships/hyperlink" Target="https://www.sec.gov/Archives/edgar/data/922358/000110465920134531/tm2038265d1_ex10-1.htm" TargetMode="External"/><Relationship Id="rId98" Type="http://schemas.openxmlformats.org/officeDocument/2006/relationships/hyperlink" Target="http://www.sec.gov/Archives/edgar/data/922358/000092235815000016/fgp-20150731ex31.htm" TargetMode="External"/><Relationship Id="rId99" Type="http://schemas.openxmlformats.org/officeDocument/2006/relationships/hyperlink" Target="https://www.sec.gov/Archives/edgar/data/0000922359/000092235818000006/fgpfifthamendmentex314.htm" TargetMode="External"/><Relationship Id="rId100" Type="http://schemas.openxmlformats.org/officeDocument/2006/relationships/hyperlink" Target="https://www.sec.gov/Archives/edgar/data/922358/000155837020014376/fgp-20201031ex33f50107e.htm" TargetMode="External"/><Relationship Id="rId101" Type="http://schemas.openxmlformats.org/officeDocument/2006/relationships/hyperlink" Target="https://www.sec.gov/Archives/edgar/data/922359/000155837021003975/tmb-20210330xex3d1.htm" TargetMode="External"/><Relationship Id="rId102" Type="http://schemas.openxmlformats.org/officeDocument/2006/relationships/hyperlink" Target="http://www.sec.gov/Archives/edgar/data/922358/000095012909000794/h65919exv3w6.htm" TargetMode="External"/><Relationship Id="rId103" Type="http://schemas.openxmlformats.org/officeDocument/2006/relationships/hyperlink" Target="http://www.sec.gov/Archives/edgar/data/922358/000095012909000794/h65919exv3w7.htm" TargetMode="External"/><Relationship Id="rId104" Type="http://schemas.openxmlformats.org/officeDocument/2006/relationships/hyperlink" Target="http://www.sec.gov/Archives/edgar/data/922358/000092235815000016/fgp-20150731ex39.htm" TargetMode="External"/><Relationship Id="rId105" Type="http://schemas.openxmlformats.org/officeDocument/2006/relationships/hyperlink" Target="https://www.sec.gov/Archives/edgar/data/0000922359/000110465920051328/tm2016809d1_ex3-1.htm" TargetMode="External"/><Relationship Id="rId106" Type="http://schemas.openxmlformats.org/officeDocument/2006/relationships/hyperlink" Target="https://www.sec.gov/Archives/edgar/data/922359/000155837021003975/tmb-20210330xex3d2.htm" TargetMode="External"/><Relationship Id="rId107" Type="http://schemas.openxmlformats.org/officeDocument/2006/relationships/hyperlink" Target="https://www.sec.gov/Archives/edgar/data/922359/000155837021003975/tmb-20210330xex3d3.htm" TargetMode="External"/><Relationship Id="rId108" Type="http://schemas.openxmlformats.org/officeDocument/2006/relationships/hyperlink" Target="http://www.sec.gov/Archives/edgar/data/922358/000095012909000794/h65919exv3w8.htm" TargetMode="External"/><Relationship Id="rId109" Type="http://schemas.openxmlformats.org/officeDocument/2006/relationships/hyperlink" Target="http://www.sec.gov/Archives/edgar/data/922358/000095012909000794/h65919exv3w9.htm" TargetMode="External"/><Relationship Id="rId110" Type="http://schemas.openxmlformats.org/officeDocument/2006/relationships/hyperlink" Target="http://www.sec.gov/Archives/edgar/data/922358/000095012909000794/h65919exv3w1.htm" TargetMode="External"/><Relationship Id="rId111" Type="http://schemas.openxmlformats.org/officeDocument/2006/relationships/hyperlink" Target="http://www.sec.gov/Archives/edgar/data/922358/000110465913081202/a13-23629_1ex4d1.htm" TargetMode="External"/><Relationship Id="rId112" Type="http://schemas.openxmlformats.org/officeDocument/2006/relationships/hyperlink" Target="http://www.sec.gov/Archives/edgar/data/922358/000110465910019521/a10-8083_1ex4d1.htm" TargetMode="External"/><Relationship Id="rId113" Type="http://schemas.openxmlformats.org/officeDocument/2006/relationships/hyperlink" Target="http://www.sec.gov/Archives/edgar/data/922358/000110465910019521/a10-8083_1ex4d2.htm" TargetMode="External"/><Relationship Id="rId114" Type="http://schemas.openxmlformats.org/officeDocument/2006/relationships/hyperlink" Target="http://www.sec.gov/Archives/edgar/data/922358/000110465917004833/a17-3419_1ex4d3.htm" TargetMode="External"/><Relationship Id="rId115" Type="http://schemas.openxmlformats.org/officeDocument/2006/relationships/hyperlink" Target="http://www.sec.gov/Archives/edgar/data/922358/000110465910060518/a10-21985_1ex4d1.htm" TargetMode="External"/><Relationship Id="rId116" Type="http://schemas.openxmlformats.org/officeDocument/2006/relationships/hyperlink" Target="http://www.sec.gov/Archives/edgar/data/922358/000110465915043977/a15-13180_7ex4d1.htm" TargetMode="External"/><Relationship Id="rId117" Type="http://schemas.openxmlformats.org/officeDocument/2006/relationships/hyperlink" Target="http://www.sec.gov/Archives/edgar/data/922358/000110465920047954/tm2011616d3_ex4-1.htm" TargetMode="External"/><Relationship Id="rId118" Type="http://schemas.openxmlformats.org/officeDocument/2006/relationships/hyperlink" Target="https://www.sec.gov/Archives/edgar/data/922359/000155837021003975/tmb-20210330xex4d1.htm" TargetMode="External"/><Relationship Id="rId119" Type="http://schemas.openxmlformats.org/officeDocument/2006/relationships/hyperlink" Target="https://www.sec.gov/Archives/edgar/data/922359/000155837021003975/tmb-20210330xex4d2.htm" TargetMode="External"/><Relationship Id="rId120" Type="http://schemas.openxmlformats.org/officeDocument/2006/relationships/hyperlink" Target="https://www.sec.gov/Archives/edgar/data/922359/000155837021003975/tmb-20210330xex4d4.htm" TargetMode="External"/><Relationship Id="rId121" Type="http://schemas.openxmlformats.org/officeDocument/2006/relationships/hyperlink" Target="https://www.sec.gov/Archives/edgar/data/922359/000155837021003975/tmb-20210330xex4d5.htm" TargetMode="External"/><Relationship Id="rId122" Type="http://schemas.openxmlformats.org/officeDocument/2006/relationships/hyperlink" Target="https://www.sec.gov/Archives/edgar/data/922359/000155837021003975/tmb-20210330xex10d2.htm" TargetMode="External"/><Relationship Id="rId123" Type="http://schemas.openxmlformats.org/officeDocument/2006/relationships/hyperlink" Target="https://www.sec.gov/Archives/edgar/data/922359/000155837021004277/tmb-20210409xex4d1.htm" TargetMode="External"/><Relationship Id="rId124" Type="http://schemas.openxmlformats.org/officeDocument/2006/relationships/hyperlink" Target="https://www.sec.gov/Archives/edgar/data/922359/000155837021004277/tmb-20210409xex4d2.htm" TargetMode="External"/><Relationship Id="rId125" Type="http://schemas.openxmlformats.org/officeDocument/2006/relationships/hyperlink" Target="https://www.sec.gov/Archives/edgar/data/922359/000155837021003975/tmb-20210330xex10d1.htm" TargetMode="External"/><Relationship Id="rId126" Type="http://schemas.openxmlformats.org/officeDocument/2006/relationships/hyperlink" Target="http://www.sec.gov/Archives/edgar/data/922358/000110465912003163/a12-2885_5ex10d1.htm" TargetMode="External"/><Relationship Id="rId127" Type="http://schemas.openxmlformats.org/officeDocument/2006/relationships/hyperlink" Target="http://www.sec.gov/Archives/edgar/data/922358/000110465912003163/a12-2885_5ex10d2.htm" TargetMode="External"/><Relationship Id="rId128" Type="http://schemas.openxmlformats.org/officeDocument/2006/relationships/hyperlink" Target="http://www.sec.gov/Archives/edgar/data/922358/000110465912042456/a12-13364_1ex10d5.htm" TargetMode="External"/><Relationship Id="rId129" Type="http://schemas.openxmlformats.org/officeDocument/2006/relationships/hyperlink" Target="http://www.sec.gov/Archives/edgar/data/922358/000129993314000539/exhibit1.htm" TargetMode="External"/><Relationship Id="rId130" Type="http://schemas.openxmlformats.org/officeDocument/2006/relationships/hyperlink" Target="http://www.sec.gov/Archives/edgar/data/922358/000129993316002799/exhibit1.htm" TargetMode="External"/><Relationship Id="rId131" Type="http://schemas.openxmlformats.org/officeDocument/2006/relationships/hyperlink" Target="http://www.sec.gov/Archives/edgar/data/922358/000092235816000032/fgp-2016731ex1038.htm" TargetMode="External"/><Relationship Id="rId132" Type="http://schemas.openxmlformats.org/officeDocument/2006/relationships/hyperlink" Target="http://www.sec.gov/Archives/edgar/data/922358/000129993317000439/exhibit2.htm" TargetMode="External"/><Relationship Id="rId133" Type="http://schemas.openxmlformats.org/officeDocument/2006/relationships/hyperlink" Target="http://www.sec.gov/Archives/edgar/data/922358/000110465918055715/a18-24159_1ex10d2.htm" TargetMode="External"/><Relationship Id="rId134" Type="http://schemas.openxmlformats.org/officeDocument/2006/relationships/hyperlink" Target="http://www.sec.gov/Archives/edgar/data/922358/000155837019011394/fgp-20191031ex1017c1058.htm" TargetMode="External"/><Relationship Id="rId135" Type="http://schemas.openxmlformats.org/officeDocument/2006/relationships/hyperlink" Target="http://www.sec.gov/Archives/edgar/data/922358/000110465920045692/tm2015077d3_ex10-1.htm" TargetMode="External"/><Relationship Id="rId136" Type="http://schemas.openxmlformats.org/officeDocument/2006/relationships/hyperlink" Target="http://www.sec.gov/Archives/edgar/data/922358/000110465910013329/a10-5057_1ex10d14.htm" TargetMode="External"/><Relationship Id="rId137" Type="http://schemas.openxmlformats.org/officeDocument/2006/relationships/hyperlink" Target="http://www.sec.gov/Archives/edgar/data/922358/000092235814000011/fgp20140731ex109.htm" TargetMode="External"/><Relationship Id="rId138" Type="http://schemas.openxmlformats.org/officeDocument/2006/relationships/hyperlink" Target="http://www.sec.gov/Archives/edgar/data/922358/000110465910033075/a10-11173_1ex10d7.htm" TargetMode="External"/><Relationship Id="rId139" Type="http://schemas.openxmlformats.org/officeDocument/2006/relationships/hyperlink" Target="http://www.sec.gov/Archives/edgar/data/922358/000092235814000011/fgp20140731ex1011.htm" TargetMode="External"/><Relationship Id="rId140" Type="http://schemas.openxmlformats.org/officeDocument/2006/relationships/hyperlink" Target="http://www.sec.gov/Archives/edgar/data/922358/000110465912016880/a12-6223_1ex10d16.htm" TargetMode="External"/><Relationship Id="rId141" Type="http://schemas.openxmlformats.org/officeDocument/2006/relationships/hyperlink" Target="http://www.sec.gov/Archives/edgar/data/922358/000092235815000016/fgp-20150731ex1023.htm" TargetMode="External"/><Relationship Id="rId142" Type="http://schemas.openxmlformats.org/officeDocument/2006/relationships/hyperlink" Target="http://www.sec.gov/Archives/edgar/data/922358/000155837019011394/fgp-20191031ex10345302d.htm" TargetMode="External"/><Relationship Id="rId143" Type="http://schemas.openxmlformats.org/officeDocument/2006/relationships/hyperlink" Target="https://www.sec.gov/Archives/edgar/data/922358/000155837020007283/fgp-20200430ex102155c03.htm" TargetMode="External"/><Relationship Id="rId144" Type="http://schemas.openxmlformats.org/officeDocument/2006/relationships/hyperlink" Target="https://www.sec.gov/Archives/edgar/data/922358/000155837020007283/fgp-20200430ex10225e3f7.htm" TargetMode="External"/><Relationship Id="rId145" Type="http://schemas.openxmlformats.org/officeDocument/2006/relationships/hyperlink" Target="https://www.sec.gov/Archives/edgar/data/922358/000155837020007283/fgp-20200430ex1023c5980.htm" TargetMode="External"/><Relationship Id="rId146" Type="http://schemas.openxmlformats.org/officeDocument/2006/relationships/hyperlink" Target="https://www.sec.gov/Archives/edgar/data/922358/000110465920072415/tm2022338d1_ex10-1.htm" TargetMode="External"/><Relationship Id="rId147" Type="http://schemas.openxmlformats.org/officeDocument/2006/relationships/hyperlink" Target="https://www.sec.gov/Archives/edgar/data/922358/000155837020014376/fgp-20201031ex1026caa7e.htm" TargetMode="External"/><Relationship Id="rId148" Type="http://schemas.openxmlformats.org/officeDocument/2006/relationships/hyperlink" Target="https://www.sec.gov/Archives/edgar/data/922358/000155837020014376/fgp-20201031ex1027bbea8.htm" TargetMode="External"/><Relationship Id="rId149" Type="http://schemas.openxmlformats.org/officeDocument/2006/relationships/hyperlink" Target="https://www.sec.gov/Archives/edgar/data/922358/000110465921000957/tm211534d1_ex10-1.htm" TargetMode="External"/><Relationship Id="rId150" Type="http://schemas.openxmlformats.org/officeDocument/2006/relationships/hyperlink" Target="https://www.sec.gov/Archives/edgar/data/922358/000110465921000957/tm211534d1_ex10-2.htm" TargetMode="External"/><Relationship Id="rId151" Type="http://schemas.openxmlformats.org/officeDocument/2006/relationships/hyperlink" Target="https://www.sec.gov/Archives/edgar/data/922358/000110465921000957/tm211534d1_ex10-3.htm" TargetMode="External"/><Relationship Id="rId152" Type="http://schemas.openxmlformats.org/officeDocument/2006/relationships/hyperlink" Target="https://www.sec.gov/Archives/edgar/data/922358/000110465921002790/tm21226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2021-06-14T15:53:19Z</dcterms:created>
  <dcterms:modified xsi:type="dcterms:W3CDTF">2021-06-14T15:53:19Z</dcterms:modified>
</cp:coreProperties>
</file>