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5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10, 2019</w:t>
      </w:r>
    </w:p>
    <w:p>
      <w:pPr>
        <w:spacing w:after="0" w:line="6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Ferrellgas Partners,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70"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2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040" w:type="dxa"/>
            <w:vAlign w:val="bottom"/>
          </w:tcPr>
          <w:p>
            <w:pPr>
              <w:jc w:val="center"/>
              <w:ind w:left="1242"/>
              <w:spacing w:after="0"/>
              <w:rPr>
                <w:sz w:val="20"/>
                <w:szCs w:val="20"/>
                <w:color w:val="auto"/>
              </w:rPr>
            </w:pPr>
            <w:r>
              <w:rPr>
                <w:rFonts w:ascii="Arial" w:cs="Arial" w:eastAsia="Arial" w:hAnsi="Arial"/>
                <w:sz w:val="18"/>
                <w:szCs w:val="18"/>
                <w:b w:val="1"/>
                <w:bCs w:val="1"/>
                <w:color w:val="auto"/>
                <w:w w:val="90"/>
              </w:rPr>
              <w:t>001-11331</w:t>
            </w:r>
          </w:p>
        </w:tc>
        <w:tc>
          <w:tcPr>
            <w:tcW w:w="318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43-1698480</w:t>
            </w:r>
          </w:p>
        </w:tc>
      </w:tr>
      <w:tr>
        <w:trPr>
          <w:trHeight w:val="216"/>
        </w:trPr>
        <w:tc>
          <w:tcPr>
            <w:tcW w:w="214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4040" w:type="dxa"/>
            <w:vAlign w:val="bottom"/>
          </w:tcPr>
          <w:p>
            <w:pPr>
              <w:jc w:val="center"/>
              <w:ind w:left="1242"/>
              <w:spacing w:after="0"/>
              <w:rPr>
                <w:sz w:val="20"/>
                <w:szCs w:val="20"/>
                <w:color w:val="auto"/>
              </w:rPr>
            </w:pPr>
            <w:r>
              <w:rPr>
                <w:rFonts w:ascii="Arial" w:cs="Arial" w:eastAsia="Arial" w:hAnsi="Arial"/>
                <w:sz w:val="18"/>
                <w:szCs w:val="18"/>
                <w:color w:val="auto"/>
                <w:w w:val="93"/>
              </w:rPr>
              <w:t>(Commission</w:t>
            </w:r>
          </w:p>
        </w:tc>
        <w:tc>
          <w:tcPr>
            <w:tcW w:w="3180" w:type="dxa"/>
            <w:vAlign w:val="bottom"/>
          </w:tcPr>
          <w:p>
            <w:pPr>
              <w:jc w:val="center"/>
              <w:ind w:left="17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ind w:right="170"/>
              <w:spacing w:after="0"/>
              <w:rPr>
                <w:sz w:val="20"/>
                <w:szCs w:val="20"/>
                <w:color w:val="auto"/>
              </w:rPr>
            </w:pPr>
            <w:r>
              <w:rPr>
                <w:rFonts w:ascii="Arial" w:cs="Arial" w:eastAsia="Arial" w:hAnsi="Arial"/>
                <w:sz w:val="18"/>
                <w:szCs w:val="18"/>
                <w:color w:val="auto"/>
                <w:w w:val="95"/>
              </w:rPr>
              <w:t>of incorporation)</w:t>
            </w:r>
          </w:p>
        </w:tc>
        <w:tc>
          <w:tcPr>
            <w:tcW w:w="4040" w:type="dxa"/>
            <w:vAlign w:val="bottom"/>
          </w:tcPr>
          <w:p>
            <w:pPr>
              <w:jc w:val="center"/>
              <w:ind w:left="1242"/>
              <w:spacing w:after="0"/>
              <w:rPr>
                <w:sz w:val="20"/>
                <w:szCs w:val="20"/>
                <w:color w:val="auto"/>
              </w:rPr>
            </w:pPr>
            <w:r>
              <w:rPr>
                <w:rFonts w:ascii="Arial" w:cs="Arial" w:eastAsia="Arial" w:hAnsi="Arial"/>
                <w:sz w:val="18"/>
                <w:szCs w:val="18"/>
                <w:color w:val="auto"/>
                <w:w w:val="94"/>
              </w:rPr>
              <w:t>File Number)</w:t>
            </w:r>
          </w:p>
        </w:tc>
        <w:tc>
          <w:tcPr>
            <w:tcW w:w="3180" w:type="dxa"/>
            <w:vAlign w:val="bottom"/>
          </w:tcPr>
          <w:p>
            <w:pPr>
              <w:jc w:val="center"/>
              <w:ind w:left="175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618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w w:val="88"/>
              </w:rPr>
              <w:t>7500 College Blvd., Suite 1000,</w:t>
            </w:r>
          </w:p>
        </w:tc>
        <w:tc>
          <w:tcPr>
            <w:tcW w:w="3180" w:type="dxa"/>
            <w:vAlign w:val="bottom"/>
          </w:tcPr>
          <w:p>
            <w:pPr>
              <w:spacing w:after="0"/>
              <w:rPr>
                <w:sz w:val="24"/>
                <w:szCs w:val="24"/>
                <w:color w:val="auto"/>
              </w:rPr>
            </w:pPr>
          </w:p>
        </w:tc>
      </w:tr>
      <w:tr>
        <w:trPr>
          <w:trHeight w:val="220"/>
        </w:trPr>
        <w:tc>
          <w:tcPr>
            <w:tcW w:w="618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w w:val="92"/>
              </w:rPr>
              <w:t>Overland Park, Kansas</w:t>
            </w:r>
          </w:p>
        </w:tc>
        <w:tc>
          <w:tcPr>
            <w:tcW w:w="31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66210</w:t>
            </w:r>
          </w:p>
        </w:tc>
      </w:tr>
      <w:tr>
        <w:trPr>
          <w:trHeight w:val="230"/>
        </w:trPr>
        <w:tc>
          <w:tcPr>
            <w:tcW w:w="6180" w:type="dxa"/>
            <w:vAlign w:val="bottom"/>
            <w:gridSpan w:val="2"/>
          </w:tcPr>
          <w:p>
            <w:pPr>
              <w:jc w:val="center"/>
              <w:ind w:right="2262"/>
              <w:spacing w:after="0"/>
              <w:rPr>
                <w:sz w:val="20"/>
                <w:szCs w:val="20"/>
                <w:color w:val="auto"/>
              </w:rPr>
            </w:pPr>
            <w:r>
              <w:rPr>
                <w:rFonts w:ascii="Arial" w:cs="Arial" w:eastAsia="Arial" w:hAnsi="Arial"/>
                <w:sz w:val="18"/>
                <w:szCs w:val="18"/>
                <w:color w:val="auto"/>
                <w:w w:val="92"/>
              </w:rPr>
              <w:t>(Address of principal executive offices)</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97"/>
        </w:trPr>
        <w:tc>
          <w:tcPr>
            <w:tcW w:w="2140" w:type="dxa"/>
            <w:vAlign w:val="bottom"/>
          </w:tcPr>
          <w:p>
            <w:pPr>
              <w:spacing w:after="0"/>
              <w:rPr>
                <w:sz w:val="24"/>
                <w:szCs w:val="24"/>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w w:val="90"/>
              </w:rPr>
              <w:t>Registrant’s telephone number, including area code:</w:t>
            </w:r>
          </w:p>
        </w:tc>
        <w:tc>
          <w:tcPr>
            <w:tcW w:w="3180" w:type="dxa"/>
            <w:vAlign w:val="bottom"/>
          </w:tcPr>
          <w:p>
            <w:pPr>
              <w:jc w:val="right"/>
              <w:ind w:right="2030"/>
              <w:spacing w:after="0"/>
              <w:rPr>
                <w:sz w:val="20"/>
                <w:szCs w:val="20"/>
                <w:color w:val="auto"/>
              </w:rPr>
            </w:pPr>
            <w:r>
              <w:rPr>
                <w:rFonts w:ascii="Arial" w:cs="Arial" w:eastAsia="Arial" w:hAnsi="Arial"/>
                <w:sz w:val="18"/>
                <w:szCs w:val="18"/>
                <w:b w:val="1"/>
                <w:bCs w:val="1"/>
                <w:color w:val="auto"/>
                <w:w w:val="92"/>
              </w:rPr>
              <w:t>913-661-1500</w:t>
            </w:r>
          </w:p>
        </w:tc>
      </w:tr>
      <w:tr>
        <w:trPr>
          <w:trHeight w:val="283"/>
        </w:trPr>
        <w:tc>
          <w:tcPr>
            <w:tcW w:w="2140" w:type="dxa"/>
            <w:vAlign w:val="bottom"/>
          </w:tcPr>
          <w:p>
            <w:pPr>
              <w:spacing w:after="0"/>
              <w:rPr>
                <w:sz w:val="24"/>
                <w:szCs w:val="24"/>
                <w:color w:val="auto"/>
              </w:rPr>
            </w:pPr>
          </w:p>
        </w:tc>
        <w:tc>
          <w:tcPr>
            <w:tcW w:w="4040" w:type="dxa"/>
            <w:vAlign w:val="bottom"/>
          </w:tcPr>
          <w:p>
            <w:pPr>
              <w:jc w:val="center"/>
              <w:ind w:left="1222"/>
              <w:spacing w:after="0"/>
              <w:rPr>
                <w:sz w:val="20"/>
                <w:szCs w:val="20"/>
                <w:color w:val="auto"/>
              </w:rPr>
            </w:pPr>
            <w:r>
              <w:rPr>
                <w:rFonts w:ascii="Arial" w:cs="Arial" w:eastAsia="Arial" w:hAnsi="Arial"/>
                <w:sz w:val="18"/>
                <w:szCs w:val="18"/>
                <w:b w:val="1"/>
                <w:bCs w:val="1"/>
                <w:color w:val="auto"/>
                <w:w w:val="92"/>
              </w:rPr>
              <w:t>n/a</w:t>
            </w:r>
          </w:p>
        </w:tc>
        <w:tc>
          <w:tcPr>
            <w:tcW w:w="31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7220" w:type="dxa"/>
            <w:vAlign w:val="bottom"/>
            <w:gridSpan w:val="2"/>
          </w:tcPr>
          <w:p>
            <w:pPr>
              <w:jc w:val="center"/>
              <w:ind w:right="179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1"/>
        </w:trPr>
        <w:tc>
          <w:tcPr>
            <w:tcW w:w="2140" w:type="dxa"/>
            <w:vAlign w:val="bottom"/>
          </w:tcPr>
          <w:p>
            <w:pPr>
              <w:spacing w:after="0"/>
              <w:rPr>
                <w:sz w:val="24"/>
                <w:szCs w:val="24"/>
                <w:color w:val="auto"/>
              </w:rPr>
            </w:pPr>
          </w:p>
        </w:tc>
        <w:tc>
          <w:tcPr>
            <w:tcW w:w="7220" w:type="dxa"/>
            <w:vAlign w:val="bottom"/>
            <w:gridSpan w:val="2"/>
          </w:tcPr>
          <w:p>
            <w:pPr>
              <w:jc w:val="center"/>
              <w:ind w:right="1790"/>
              <w:spacing w:after="0"/>
              <w:rPr>
                <w:sz w:val="20"/>
                <w:szCs w:val="20"/>
                <w:color w:val="auto"/>
              </w:rPr>
            </w:pPr>
            <w:r>
              <w:rPr>
                <w:rFonts w:ascii="Arial" w:cs="Arial" w:eastAsia="Arial" w:hAnsi="Arial"/>
                <w:sz w:val="32"/>
                <w:szCs w:val="32"/>
                <w:b w:val="1"/>
                <w:bCs w:val="1"/>
                <w:color w:val="auto"/>
                <w:w w:val="92"/>
              </w:rPr>
              <w:t>Ferrellgas Partners Finance Corp.</w:t>
            </w:r>
          </w:p>
        </w:tc>
      </w:tr>
      <w:tr>
        <w:trPr>
          <w:trHeight w:val="230"/>
        </w:trPr>
        <w:tc>
          <w:tcPr>
            <w:tcW w:w="2140" w:type="dxa"/>
            <w:vAlign w:val="bottom"/>
          </w:tcPr>
          <w:p>
            <w:pPr>
              <w:spacing w:after="0"/>
              <w:rPr>
                <w:sz w:val="20"/>
                <w:szCs w:val="20"/>
                <w:color w:val="auto"/>
              </w:rPr>
            </w:pPr>
          </w:p>
        </w:tc>
        <w:tc>
          <w:tcPr>
            <w:tcW w:w="7220" w:type="dxa"/>
            <w:vAlign w:val="bottom"/>
            <w:gridSpan w:val="2"/>
          </w:tcPr>
          <w:p>
            <w:pPr>
              <w:jc w:val="center"/>
              <w:ind w:right="17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83"/>
        </w:trPr>
        <w:tc>
          <w:tcPr>
            <w:tcW w:w="2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040" w:type="dxa"/>
            <w:vAlign w:val="bottom"/>
          </w:tcPr>
          <w:p>
            <w:pPr>
              <w:jc w:val="center"/>
              <w:ind w:left="1242"/>
              <w:spacing w:after="0"/>
              <w:rPr>
                <w:sz w:val="20"/>
                <w:szCs w:val="20"/>
                <w:color w:val="auto"/>
              </w:rPr>
            </w:pPr>
            <w:r>
              <w:rPr>
                <w:rFonts w:ascii="Arial" w:cs="Arial" w:eastAsia="Arial" w:hAnsi="Arial"/>
                <w:sz w:val="18"/>
                <w:szCs w:val="18"/>
                <w:b w:val="1"/>
                <w:bCs w:val="1"/>
                <w:color w:val="auto"/>
                <w:w w:val="90"/>
              </w:rPr>
              <w:t>333-06693</w:t>
            </w:r>
          </w:p>
        </w:tc>
        <w:tc>
          <w:tcPr>
            <w:tcW w:w="318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43-1742520</w:t>
            </w:r>
          </w:p>
        </w:tc>
      </w:tr>
      <w:tr>
        <w:trPr>
          <w:trHeight w:val="216"/>
        </w:trPr>
        <w:tc>
          <w:tcPr>
            <w:tcW w:w="214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4040" w:type="dxa"/>
            <w:vAlign w:val="bottom"/>
          </w:tcPr>
          <w:p>
            <w:pPr>
              <w:jc w:val="center"/>
              <w:ind w:left="1242"/>
              <w:spacing w:after="0"/>
              <w:rPr>
                <w:sz w:val="20"/>
                <w:szCs w:val="20"/>
                <w:color w:val="auto"/>
              </w:rPr>
            </w:pPr>
            <w:r>
              <w:rPr>
                <w:rFonts w:ascii="Arial" w:cs="Arial" w:eastAsia="Arial" w:hAnsi="Arial"/>
                <w:sz w:val="18"/>
                <w:szCs w:val="18"/>
                <w:color w:val="auto"/>
                <w:w w:val="93"/>
              </w:rPr>
              <w:t>(Commission</w:t>
            </w:r>
          </w:p>
        </w:tc>
        <w:tc>
          <w:tcPr>
            <w:tcW w:w="3180" w:type="dxa"/>
            <w:vAlign w:val="bottom"/>
          </w:tcPr>
          <w:p>
            <w:pPr>
              <w:jc w:val="center"/>
              <w:ind w:left="17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ind w:right="170"/>
              <w:spacing w:after="0"/>
              <w:rPr>
                <w:sz w:val="20"/>
                <w:szCs w:val="20"/>
                <w:color w:val="auto"/>
              </w:rPr>
            </w:pPr>
            <w:r>
              <w:rPr>
                <w:rFonts w:ascii="Arial" w:cs="Arial" w:eastAsia="Arial" w:hAnsi="Arial"/>
                <w:sz w:val="18"/>
                <w:szCs w:val="18"/>
                <w:color w:val="auto"/>
                <w:w w:val="95"/>
              </w:rPr>
              <w:t>of incorporation)</w:t>
            </w:r>
          </w:p>
        </w:tc>
        <w:tc>
          <w:tcPr>
            <w:tcW w:w="4040" w:type="dxa"/>
            <w:vAlign w:val="bottom"/>
          </w:tcPr>
          <w:p>
            <w:pPr>
              <w:jc w:val="center"/>
              <w:ind w:left="1242"/>
              <w:spacing w:after="0"/>
              <w:rPr>
                <w:sz w:val="20"/>
                <w:szCs w:val="20"/>
                <w:color w:val="auto"/>
              </w:rPr>
            </w:pPr>
            <w:r>
              <w:rPr>
                <w:rFonts w:ascii="Arial" w:cs="Arial" w:eastAsia="Arial" w:hAnsi="Arial"/>
                <w:sz w:val="18"/>
                <w:szCs w:val="18"/>
                <w:color w:val="auto"/>
                <w:w w:val="94"/>
              </w:rPr>
              <w:t>File Number)</w:t>
            </w:r>
          </w:p>
        </w:tc>
        <w:tc>
          <w:tcPr>
            <w:tcW w:w="3180" w:type="dxa"/>
            <w:vAlign w:val="bottom"/>
          </w:tcPr>
          <w:p>
            <w:pPr>
              <w:jc w:val="center"/>
              <w:ind w:left="175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618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w w:val="88"/>
              </w:rPr>
              <w:t>7500 College Blvd., Suite 1000,</w:t>
            </w:r>
          </w:p>
        </w:tc>
        <w:tc>
          <w:tcPr>
            <w:tcW w:w="3180" w:type="dxa"/>
            <w:vAlign w:val="bottom"/>
          </w:tcPr>
          <w:p>
            <w:pPr>
              <w:spacing w:after="0"/>
              <w:rPr>
                <w:sz w:val="24"/>
                <w:szCs w:val="24"/>
                <w:color w:val="auto"/>
              </w:rPr>
            </w:pPr>
          </w:p>
        </w:tc>
      </w:tr>
      <w:tr>
        <w:trPr>
          <w:trHeight w:val="220"/>
        </w:trPr>
        <w:tc>
          <w:tcPr>
            <w:tcW w:w="618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w w:val="92"/>
              </w:rPr>
              <w:t>Overland Park, Kansas</w:t>
            </w:r>
          </w:p>
        </w:tc>
        <w:tc>
          <w:tcPr>
            <w:tcW w:w="31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66210</w:t>
            </w:r>
          </w:p>
        </w:tc>
      </w:tr>
      <w:tr>
        <w:trPr>
          <w:trHeight w:val="230"/>
        </w:trPr>
        <w:tc>
          <w:tcPr>
            <w:tcW w:w="6180" w:type="dxa"/>
            <w:vAlign w:val="bottom"/>
            <w:gridSpan w:val="2"/>
          </w:tcPr>
          <w:p>
            <w:pPr>
              <w:jc w:val="center"/>
              <w:ind w:right="2262"/>
              <w:spacing w:after="0"/>
              <w:rPr>
                <w:sz w:val="20"/>
                <w:szCs w:val="20"/>
                <w:color w:val="auto"/>
              </w:rPr>
            </w:pPr>
            <w:r>
              <w:rPr>
                <w:rFonts w:ascii="Arial" w:cs="Arial" w:eastAsia="Arial" w:hAnsi="Arial"/>
                <w:sz w:val="18"/>
                <w:szCs w:val="18"/>
                <w:color w:val="auto"/>
                <w:w w:val="92"/>
              </w:rPr>
              <w:t>(Address of principal executive offices)</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97"/>
        </w:trPr>
        <w:tc>
          <w:tcPr>
            <w:tcW w:w="2140" w:type="dxa"/>
            <w:vAlign w:val="bottom"/>
          </w:tcPr>
          <w:p>
            <w:pPr>
              <w:spacing w:after="0"/>
              <w:rPr>
                <w:sz w:val="24"/>
                <w:szCs w:val="24"/>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w w:val="90"/>
              </w:rPr>
              <w:t>Registrant’s telephone number, including area code:</w:t>
            </w:r>
          </w:p>
        </w:tc>
        <w:tc>
          <w:tcPr>
            <w:tcW w:w="3180" w:type="dxa"/>
            <w:vAlign w:val="bottom"/>
          </w:tcPr>
          <w:p>
            <w:pPr>
              <w:jc w:val="right"/>
              <w:ind w:right="2030"/>
              <w:spacing w:after="0"/>
              <w:rPr>
                <w:sz w:val="20"/>
                <w:szCs w:val="20"/>
                <w:color w:val="auto"/>
              </w:rPr>
            </w:pPr>
            <w:r>
              <w:rPr>
                <w:rFonts w:ascii="Arial" w:cs="Arial" w:eastAsia="Arial" w:hAnsi="Arial"/>
                <w:sz w:val="18"/>
                <w:szCs w:val="18"/>
                <w:b w:val="1"/>
                <w:bCs w:val="1"/>
                <w:color w:val="auto"/>
                <w:w w:val="92"/>
              </w:rPr>
              <w:t>913-661-1500</w:t>
            </w:r>
          </w:p>
        </w:tc>
      </w:tr>
      <w:tr>
        <w:trPr>
          <w:trHeight w:val="283"/>
        </w:trPr>
        <w:tc>
          <w:tcPr>
            <w:tcW w:w="2140" w:type="dxa"/>
            <w:vAlign w:val="bottom"/>
          </w:tcPr>
          <w:p>
            <w:pPr>
              <w:spacing w:after="0"/>
              <w:rPr>
                <w:sz w:val="24"/>
                <w:szCs w:val="24"/>
                <w:color w:val="auto"/>
              </w:rPr>
            </w:pPr>
          </w:p>
        </w:tc>
        <w:tc>
          <w:tcPr>
            <w:tcW w:w="4040" w:type="dxa"/>
            <w:vAlign w:val="bottom"/>
          </w:tcPr>
          <w:p>
            <w:pPr>
              <w:jc w:val="center"/>
              <w:ind w:left="1222"/>
              <w:spacing w:after="0"/>
              <w:rPr>
                <w:sz w:val="20"/>
                <w:szCs w:val="20"/>
                <w:color w:val="auto"/>
              </w:rPr>
            </w:pPr>
            <w:r>
              <w:rPr>
                <w:rFonts w:ascii="Arial" w:cs="Arial" w:eastAsia="Arial" w:hAnsi="Arial"/>
                <w:sz w:val="18"/>
                <w:szCs w:val="18"/>
                <w:b w:val="1"/>
                <w:bCs w:val="1"/>
                <w:color w:val="auto"/>
                <w:w w:val="92"/>
              </w:rPr>
              <w:t>n/a</w:t>
            </w:r>
          </w:p>
        </w:tc>
        <w:tc>
          <w:tcPr>
            <w:tcW w:w="31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7220" w:type="dxa"/>
            <w:vAlign w:val="bottom"/>
            <w:gridSpan w:val="2"/>
          </w:tcPr>
          <w:p>
            <w:pPr>
              <w:jc w:val="center"/>
              <w:ind w:right="179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1"/>
        </w:trPr>
        <w:tc>
          <w:tcPr>
            <w:tcW w:w="2140" w:type="dxa"/>
            <w:vAlign w:val="bottom"/>
          </w:tcPr>
          <w:p>
            <w:pPr>
              <w:spacing w:after="0"/>
              <w:rPr>
                <w:sz w:val="24"/>
                <w:szCs w:val="24"/>
                <w:color w:val="auto"/>
              </w:rPr>
            </w:pPr>
          </w:p>
        </w:tc>
        <w:tc>
          <w:tcPr>
            <w:tcW w:w="4040" w:type="dxa"/>
            <w:vAlign w:val="bottom"/>
          </w:tcPr>
          <w:p>
            <w:pPr>
              <w:jc w:val="center"/>
              <w:ind w:left="1202"/>
              <w:spacing w:after="0"/>
              <w:rPr>
                <w:sz w:val="20"/>
                <w:szCs w:val="20"/>
                <w:color w:val="auto"/>
              </w:rPr>
            </w:pPr>
            <w:r>
              <w:rPr>
                <w:rFonts w:ascii="Arial" w:cs="Arial" w:eastAsia="Arial" w:hAnsi="Arial"/>
                <w:sz w:val="32"/>
                <w:szCs w:val="32"/>
                <w:b w:val="1"/>
                <w:bCs w:val="1"/>
                <w:color w:val="auto"/>
                <w:w w:val="91"/>
              </w:rPr>
              <w:t>Ferrellgas, L.P.</w:t>
            </w:r>
          </w:p>
        </w:tc>
        <w:tc>
          <w:tcPr>
            <w:tcW w:w="31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7220" w:type="dxa"/>
            <w:vAlign w:val="bottom"/>
            <w:gridSpan w:val="2"/>
          </w:tcPr>
          <w:p>
            <w:pPr>
              <w:jc w:val="center"/>
              <w:ind w:right="17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83"/>
        </w:trPr>
        <w:tc>
          <w:tcPr>
            <w:tcW w:w="2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040" w:type="dxa"/>
            <w:vAlign w:val="bottom"/>
          </w:tcPr>
          <w:p>
            <w:pPr>
              <w:jc w:val="center"/>
              <w:ind w:left="1242"/>
              <w:spacing w:after="0"/>
              <w:rPr>
                <w:sz w:val="20"/>
                <w:szCs w:val="20"/>
                <w:color w:val="auto"/>
              </w:rPr>
            </w:pPr>
            <w:r>
              <w:rPr>
                <w:rFonts w:ascii="Arial" w:cs="Arial" w:eastAsia="Arial" w:hAnsi="Arial"/>
                <w:sz w:val="18"/>
                <w:szCs w:val="18"/>
                <w:b w:val="1"/>
                <w:bCs w:val="1"/>
                <w:color w:val="auto"/>
                <w:w w:val="90"/>
              </w:rPr>
              <w:t>000-50182</w:t>
            </w:r>
          </w:p>
        </w:tc>
        <w:tc>
          <w:tcPr>
            <w:tcW w:w="318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43-1698481</w:t>
            </w:r>
          </w:p>
        </w:tc>
      </w:tr>
      <w:tr>
        <w:trPr>
          <w:trHeight w:val="216"/>
        </w:trPr>
        <w:tc>
          <w:tcPr>
            <w:tcW w:w="214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4040" w:type="dxa"/>
            <w:vAlign w:val="bottom"/>
          </w:tcPr>
          <w:p>
            <w:pPr>
              <w:jc w:val="center"/>
              <w:ind w:left="1242"/>
              <w:spacing w:after="0"/>
              <w:rPr>
                <w:sz w:val="20"/>
                <w:szCs w:val="20"/>
                <w:color w:val="auto"/>
              </w:rPr>
            </w:pPr>
            <w:r>
              <w:rPr>
                <w:rFonts w:ascii="Arial" w:cs="Arial" w:eastAsia="Arial" w:hAnsi="Arial"/>
                <w:sz w:val="18"/>
                <w:szCs w:val="18"/>
                <w:color w:val="auto"/>
                <w:w w:val="93"/>
              </w:rPr>
              <w:t>(Commission</w:t>
            </w:r>
          </w:p>
        </w:tc>
        <w:tc>
          <w:tcPr>
            <w:tcW w:w="3180" w:type="dxa"/>
            <w:vAlign w:val="bottom"/>
          </w:tcPr>
          <w:p>
            <w:pPr>
              <w:jc w:val="center"/>
              <w:ind w:left="17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ind w:right="170"/>
              <w:spacing w:after="0"/>
              <w:rPr>
                <w:sz w:val="20"/>
                <w:szCs w:val="20"/>
                <w:color w:val="auto"/>
              </w:rPr>
            </w:pPr>
            <w:r>
              <w:rPr>
                <w:rFonts w:ascii="Arial" w:cs="Arial" w:eastAsia="Arial" w:hAnsi="Arial"/>
                <w:sz w:val="18"/>
                <w:szCs w:val="18"/>
                <w:color w:val="auto"/>
                <w:w w:val="95"/>
              </w:rPr>
              <w:t>of incorporation)</w:t>
            </w:r>
          </w:p>
        </w:tc>
        <w:tc>
          <w:tcPr>
            <w:tcW w:w="4040" w:type="dxa"/>
            <w:vAlign w:val="bottom"/>
          </w:tcPr>
          <w:p>
            <w:pPr>
              <w:jc w:val="center"/>
              <w:ind w:left="1242"/>
              <w:spacing w:after="0"/>
              <w:rPr>
                <w:sz w:val="20"/>
                <w:szCs w:val="20"/>
                <w:color w:val="auto"/>
              </w:rPr>
            </w:pPr>
            <w:r>
              <w:rPr>
                <w:rFonts w:ascii="Arial" w:cs="Arial" w:eastAsia="Arial" w:hAnsi="Arial"/>
                <w:sz w:val="18"/>
                <w:szCs w:val="18"/>
                <w:color w:val="auto"/>
                <w:w w:val="94"/>
              </w:rPr>
              <w:t>File Number)</w:t>
            </w:r>
          </w:p>
        </w:tc>
        <w:tc>
          <w:tcPr>
            <w:tcW w:w="3180" w:type="dxa"/>
            <w:vAlign w:val="bottom"/>
          </w:tcPr>
          <w:p>
            <w:pPr>
              <w:jc w:val="center"/>
              <w:ind w:left="175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618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w w:val="88"/>
              </w:rPr>
              <w:t>7500 College Blvd., Suite 1000,</w:t>
            </w:r>
          </w:p>
        </w:tc>
        <w:tc>
          <w:tcPr>
            <w:tcW w:w="3180" w:type="dxa"/>
            <w:vAlign w:val="bottom"/>
          </w:tcPr>
          <w:p>
            <w:pPr>
              <w:spacing w:after="0"/>
              <w:rPr>
                <w:sz w:val="24"/>
                <w:szCs w:val="24"/>
                <w:color w:val="auto"/>
              </w:rPr>
            </w:pPr>
          </w:p>
        </w:tc>
      </w:tr>
      <w:tr>
        <w:trPr>
          <w:trHeight w:val="220"/>
        </w:trPr>
        <w:tc>
          <w:tcPr>
            <w:tcW w:w="618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w w:val="92"/>
              </w:rPr>
              <w:t>Overland Park, Kansas</w:t>
            </w:r>
          </w:p>
        </w:tc>
        <w:tc>
          <w:tcPr>
            <w:tcW w:w="31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66210</w:t>
            </w:r>
          </w:p>
        </w:tc>
      </w:tr>
      <w:tr>
        <w:trPr>
          <w:trHeight w:val="230"/>
        </w:trPr>
        <w:tc>
          <w:tcPr>
            <w:tcW w:w="6180" w:type="dxa"/>
            <w:vAlign w:val="bottom"/>
            <w:gridSpan w:val="2"/>
          </w:tcPr>
          <w:p>
            <w:pPr>
              <w:jc w:val="center"/>
              <w:ind w:right="2262"/>
              <w:spacing w:after="0"/>
              <w:rPr>
                <w:sz w:val="20"/>
                <w:szCs w:val="20"/>
                <w:color w:val="auto"/>
              </w:rPr>
            </w:pPr>
            <w:r>
              <w:rPr>
                <w:rFonts w:ascii="Arial" w:cs="Arial" w:eastAsia="Arial" w:hAnsi="Arial"/>
                <w:sz w:val="18"/>
                <w:szCs w:val="18"/>
                <w:color w:val="auto"/>
                <w:w w:val="92"/>
              </w:rPr>
              <w:t>(Address of principal executive offices)</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97"/>
        </w:trPr>
        <w:tc>
          <w:tcPr>
            <w:tcW w:w="2140" w:type="dxa"/>
            <w:vAlign w:val="bottom"/>
          </w:tcPr>
          <w:p>
            <w:pPr>
              <w:spacing w:after="0"/>
              <w:rPr>
                <w:sz w:val="24"/>
                <w:szCs w:val="24"/>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w w:val="90"/>
              </w:rPr>
              <w:t>Registrant’s telephone number, including area code:</w:t>
            </w:r>
          </w:p>
        </w:tc>
        <w:tc>
          <w:tcPr>
            <w:tcW w:w="3180" w:type="dxa"/>
            <w:vAlign w:val="bottom"/>
          </w:tcPr>
          <w:p>
            <w:pPr>
              <w:jc w:val="right"/>
              <w:ind w:right="2030"/>
              <w:spacing w:after="0"/>
              <w:rPr>
                <w:sz w:val="20"/>
                <w:szCs w:val="20"/>
                <w:color w:val="auto"/>
              </w:rPr>
            </w:pPr>
            <w:r>
              <w:rPr>
                <w:rFonts w:ascii="Arial" w:cs="Arial" w:eastAsia="Arial" w:hAnsi="Arial"/>
                <w:sz w:val="18"/>
                <w:szCs w:val="18"/>
                <w:b w:val="1"/>
                <w:bCs w:val="1"/>
                <w:color w:val="auto"/>
                <w:w w:val="92"/>
              </w:rPr>
              <w:t>913-661-1500</w:t>
            </w:r>
          </w:p>
        </w:tc>
      </w:tr>
      <w:tr>
        <w:trPr>
          <w:trHeight w:val="283"/>
        </w:trPr>
        <w:tc>
          <w:tcPr>
            <w:tcW w:w="2140" w:type="dxa"/>
            <w:vAlign w:val="bottom"/>
          </w:tcPr>
          <w:p>
            <w:pPr>
              <w:spacing w:after="0"/>
              <w:rPr>
                <w:sz w:val="24"/>
                <w:szCs w:val="24"/>
                <w:color w:val="auto"/>
              </w:rPr>
            </w:pPr>
          </w:p>
        </w:tc>
        <w:tc>
          <w:tcPr>
            <w:tcW w:w="4040" w:type="dxa"/>
            <w:vAlign w:val="bottom"/>
          </w:tcPr>
          <w:p>
            <w:pPr>
              <w:jc w:val="center"/>
              <w:ind w:left="1222"/>
              <w:spacing w:after="0"/>
              <w:rPr>
                <w:sz w:val="20"/>
                <w:szCs w:val="20"/>
                <w:color w:val="auto"/>
              </w:rPr>
            </w:pPr>
            <w:r>
              <w:rPr>
                <w:rFonts w:ascii="Arial" w:cs="Arial" w:eastAsia="Arial" w:hAnsi="Arial"/>
                <w:sz w:val="18"/>
                <w:szCs w:val="18"/>
                <w:b w:val="1"/>
                <w:bCs w:val="1"/>
                <w:color w:val="auto"/>
                <w:w w:val="92"/>
              </w:rPr>
              <w:t>n/a</w:t>
            </w:r>
          </w:p>
        </w:tc>
        <w:tc>
          <w:tcPr>
            <w:tcW w:w="3180" w:type="dxa"/>
            <w:vAlign w:val="bottom"/>
          </w:tcPr>
          <w:p>
            <w:pPr>
              <w:spacing w:after="0"/>
              <w:rPr>
                <w:sz w:val="24"/>
                <w:szCs w:val="24"/>
                <w:color w:val="auto"/>
              </w:rPr>
            </w:pPr>
          </w:p>
        </w:tc>
      </w:tr>
      <w:tr>
        <w:trPr>
          <w:trHeight w:val="230"/>
        </w:trPr>
        <w:tc>
          <w:tcPr>
            <w:tcW w:w="2140" w:type="dxa"/>
            <w:vAlign w:val="bottom"/>
          </w:tcPr>
          <w:p>
            <w:pPr>
              <w:spacing w:after="0"/>
              <w:rPr>
                <w:sz w:val="20"/>
                <w:szCs w:val="20"/>
                <w:color w:val="auto"/>
              </w:rPr>
            </w:pPr>
          </w:p>
        </w:tc>
        <w:tc>
          <w:tcPr>
            <w:tcW w:w="7220" w:type="dxa"/>
            <w:vAlign w:val="bottom"/>
            <w:gridSpan w:val="2"/>
          </w:tcPr>
          <w:p>
            <w:pPr>
              <w:jc w:val="center"/>
              <w:ind w:right="1790"/>
              <w:spacing w:after="0"/>
              <w:rPr>
                <w:sz w:val="20"/>
                <w:szCs w:val="20"/>
                <w:color w:val="auto"/>
              </w:rPr>
            </w:pPr>
            <w:r>
              <w:rPr>
                <w:rFonts w:ascii="Arial" w:cs="Arial" w:eastAsia="Arial" w:hAnsi="Arial"/>
                <w:sz w:val="18"/>
                <w:szCs w:val="18"/>
                <w:color w:val="auto"/>
                <w:w w:val="89"/>
              </w:rPr>
              <w:t>Former name or former address, if changed since last report</w:t>
            </w:r>
          </w:p>
        </w:tc>
      </w:tr>
      <w:tr>
        <w:trPr>
          <w:trHeight w:val="431"/>
        </w:trPr>
        <w:tc>
          <w:tcPr>
            <w:tcW w:w="2140" w:type="dxa"/>
            <w:vAlign w:val="bottom"/>
          </w:tcPr>
          <w:p>
            <w:pPr>
              <w:spacing w:after="0"/>
              <w:rPr>
                <w:sz w:val="24"/>
                <w:szCs w:val="24"/>
                <w:color w:val="auto"/>
              </w:rPr>
            </w:pPr>
          </w:p>
        </w:tc>
        <w:tc>
          <w:tcPr>
            <w:tcW w:w="7220" w:type="dxa"/>
            <w:vAlign w:val="bottom"/>
            <w:gridSpan w:val="2"/>
          </w:tcPr>
          <w:p>
            <w:pPr>
              <w:jc w:val="center"/>
              <w:ind w:right="1790"/>
              <w:spacing w:after="0"/>
              <w:rPr>
                <w:sz w:val="20"/>
                <w:szCs w:val="20"/>
                <w:color w:val="auto"/>
              </w:rPr>
            </w:pPr>
            <w:r>
              <w:rPr>
                <w:rFonts w:ascii="Arial" w:cs="Arial" w:eastAsia="Arial" w:hAnsi="Arial"/>
                <w:sz w:val="32"/>
                <w:szCs w:val="32"/>
                <w:b w:val="1"/>
                <w:bCs w:val="1"/>
                <w:color w:val="auto"/>
                <w:w w:val="92"/>
              </w:rPr>
              <w:t>Ferrellgas Finance Corp.</w:t>
            </w:r>
          </w:p>
        </w:tc>
      </w:tr>
      <w:tr>
        <w:trPr>
          <w:trHeight w:val="230"/>
        </w:trPr>
        <w:tc>
          <w:tcPr>
            <w:tcW w:w="2140" w:type="dxa"/>
            <w:vAlign w:val="bottom"/>
          </w:tcPr>
          <w:p>
            <w:pPr>
              <w:spacing w:after="0"/>
              <w:rPr>
                <w:sz w:val="20"/>
                <w:szCs w:val="20"/>
                <w:color w:val="auto"/>
              </w:rPr>
            </w:pPr>
          </w:p>
        </w:tc>
        <w:tc>
          <w:tcPr>
            <w:tcW w:w="7220" w:type="dxa"/>
            <w:vAlign w:val="bottom"/>
            <w:gridSpan w:val="2"/>
          </w:tcPr>
          <w:p>
            <w:pPr>
              <w:jc w:val="center"/>
              <w:ind w:right="177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283"/>
        </w:trPr>
        <w:tc>
          <w:tcPr>
            <w:tcW w:w="214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040" w:type="dxa"/>
            <w:vAlign w:val="bottom"/>
          </w:tcPr>
          <w:p>
            <w:pPr>
              <w:jc w:val="center"/>
              <w:ind w:left="1242"/>
              <w:spacing w:after="0"/>
              <w:rPr>
                <w:sz w:val="20"/>
                <w:szCs w:val="20"/>
                <w:color w:val="auto"/>
              </w:rPr>
            </w:pPr>
            <w:r>
              <w:rPr>
                <w:rFonts w:ascii="Arial" w:cs="Arial" w:eastAsia="Arial" w:hAnsi="Arial"/>
                <w:sz w:val="18"/>
                <w:szCs w:val="18"/>
                <w:b w:val="1"/>
                <w:bCs w:val="1"/>
                <w:color w:val="auto"/>
                <w:w w:val="90"/>
              </w:rPr>
              <w:t>000-50183</w:t>
            </w:r>
          </w:p>
        </w:tc>
        <w:tc>
          <w:tcPr>
            <w:tcW w:w="3180" w:type="dxa"/>
            <w:vAlign w:val="bottom"/>
          </w:tcPr>
          <w:p>
            <w:pPr>
              <w:jc w:val="center"/>
              <w:ind w:left="1770"/>
              <w:spacing w:after="0"/>
              <w:rPr>
                <w:sz w:val="20"/>
                <w:szCs w:val="20"/>
                <w:color w:val="auto"/>
              </w:rPr>
            </w:pPr>
            <w:r>
              <w:rPr>
                <w:rFonts w:ascii="Arial" w:cs="Arial" w:eastAsia="Arial" w:hAnsi="Arial"/>
                <w:sz w:val="18"/>
                <w:szCs w:val="18"/>
                <w:b w:val="1"/>
                <w:bCs w:val="1"/>
                <w:color w:val="auto"/>
                <w:w w:val="91"/>
              </w:rPr>
              <w:t>14-1866671</w:t>
            </w:r>
          </w:p>
        </w:tc>
      </w:tr>
      <w:tr>
        <w:trPr>
          <w:trHeight w:val="216"/>
        </w:trPr>
        <w:tc>
          <w:tcPr>
            <w:tcW w:w="214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4040" w:type="dxa"/>
            <w:vAlign w:val="bottom"/>
          </w:tcPr>
          <w:p>
            <w:pPr>
              <w:jc w:val="center"/>
              <w:ind w:left="1242"/>
              <w:spacing w:after="0"/>
              <w:rPr>
                <w:sz w:val="20"/>
                <w:szCs w:val="20"/>
                <w:color w:val="auto"/>
              </w:rPr>
            </w:pPr>
            <w:r>
              <w:rPr>
                <w:rFonts w:ascii="Arial" w:cs="Arial" w:eastAsia="Arial" w:hAnsi="Arial"/>
                <w:sz w:val="18"/>
                <w:szCs w:val="18"/>
                <w:color w:val="auto"/>
                <w:w w:val="93"/>
              </w:rPr>
              <w:t>(Commission</w:t>
            </w:r>
          </w:p>
        </w:tc>
        <w:tc>
          <w:tcPr>
            <w:tcW w:w="3180" w:type="dxa"/>
            <w:vAlign w:val="bottom"/>
          </w:tcPr>
          <w:p>
            <w:pPr>
              <w:jc w:val="center"/>
              <w:ind w:left="17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ind w:right="170"/>
              <w:spacing w:after="0"/>
              <w:rPr>
                <w:sz w:val="20"/>
                <w:szCs w:val="20"/>
                <w:color w:val="auto"/>
              </w:rPr>
            </w:pPr>
            <w:r>
              <w:rPr>
                <w:rFonts w:ascii="Arial" w:cs="Arial" w:eastAsia="Arial" w:hAnsi="Arial"/>
                <w:sz w:val="18"/>
                <w:szCs w:val="18"/>
                <w:color w:val="auto"/>
                <w:w w:val="95"/>
              </w:rPr>
              <w:t>of incorporation)</w:t>
            </w:r>
          </w:p>
        </w:tc>
        <w:tc>
          <w:tcPr>
            <w:tcW w:w="4040" w:type="dxa"/>
            <w:vAlign w:val="bottom"/>
          </w:tcPr>
          <w:p>
            <w:pPr>
              <w:jc w:val="center"/>
              <w:ind w:left="1242"/>
              <w:spacing w:after="0"/>
              <w:rPr>
                <w:sz w:val="20"/>
                <w:szCs w:val="20"/>
                <w:color w:val="auto"/>
              </w:rPr>
            </w:pPr>
            <w:r>
              <w:rPr>
                <w:rFonts w:ascii="Arial" w:cs="Arial" w:eastAsia="Arial" w:hAnsi="Arial"/>
                <w:sz w:val="18"/>
                <w:szCs w:val="18"/>
                <w:color w:val="auto"/>
                <w:w w:val="94"/>
              </w:rPr>
              <w:t>File Number)</w:t>
            </w:r>
          </w:p>
        </w:tc>
        <w:tc>
          <w:tcPr>
            <w:tcW w:w="3180" w:type="dxa"/>
            <w:vAlign w:val="bottom"/>
          </w:tcPr>
          <w:p>
            <w:pPr>
              <w:jc w:val="center"/>
              <w:ind w:left="1750"/>
              <w:spacing w:after="0"/>
              <w:rPr>
                <w:sz w:val="20"/>
                <w:szCs w:val="20"/>
                <w:color w:val="auto"/>
              </w:rPr>
            </w:pPr>
            <w:r>
              <w:rPr>
                <w:rFonts w:ascii="Arial" w:cs="Arial" w:eastAsia="Arial" w:hAnsi="Arial"/>
                <w:sz w:val="18"/>
                <w:szCs w:val="18"/>
                <w:color w:val="auto"/>
                <w:w w:val="95"/>
              </w:rPr>
              <w:t>Identification No.)</w:t>
            </w:r>
          </w:p>
        </w:tc>
      </w:tr>
      <w:tr>
        <w:trPr>
          <w:trHeight w:val="279"/>
        </w:trPr>
        <w:tc>
          <w:tcPr>
            <w:tcW w:w="618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w w:val="88"/>
              </w:rPr>
              <w:t>7500 College Blvd., Suite 1000,</w:t>
            </w:r>
          </w:p>
        </w:tc>
        <w:tc>
          <w:tcPr>
            <w:tcW w:w="3180" w:type="dxa"/>
            <w:vAlign w:val="bottom"/>
          </w:tcPr>
          <w:p>
            <w:pPr>
              <w:spacing w:after="0"/>
              <w:rPr>
                <w:sz w:val="24"/>
                <w:szCs w:val="24"/>
                <w:color w:val="auto"/>
              </w:rPr>
            </w:pPr>
          </w:p>
        </w:tc>
      </w:tr>
      <w:tr>
        <w:trPr>
          <w:trHeight w:val="220"/>
        </w:trPr>
        <w:tc>
          <w:tcPr>
            <w:tcW w:w="6180" w:type="dxa"/>
            <w:vAlign w:val="bottom"/>
            <w:gridSpan w:val="2"/>
          </w:tcPr>
          <w:p>
            <w:pPr>
              <w:jc w:val="center"/>
              <w:ind w:right="2262"/>
              <w:spacing w:after="0"/>
              <w:rPr>
                <w:sz w:val="20"/>
                <w:szCs w:val="20"/>
                <w:color w:val="auto"/>
              </w:rPr>
            </w:pPr>
            <w:r>
              <w:rPr>
                <w:rFonts w:ascii="Arial" w:cs="Arial" w:eastAsia="Arial" w:hAnsi="Arial"/>
                <w:sz w:val="18"/>
                <w:szCs w:val="18"/>
                <w:b w:val="1"/>
                <w:bCs w:val="1"/>
                <w:color w:val="auto"/>
                <w:w w:val="92"/>
              </w:rPr>
              <w:t>Overland Park, Kansas</w:t>
            </w:r>
          </w:p>
        </w:tc>
        <w:tc>
          <w:tcPr>
            <w:tcW w:w="318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66210</w:t>
            </w:r>
          </w:p>
        </w:tc>
      </w:tr>
      <w:tr>
        <w:trPr>
          <w:trHeight w:val="230"/>
        </w:trPr>
        <w:tc>
          <w:tcPr>
            <w:tcW w:w="6180" w:type="dxa"/>
            <w:vAlign w:val="bottom"/>
            <w:gridSpan w:val="2"/>
          </w:tcPr>
          <w:p>
            <w:pPr>
              <w:jc w:val="center"/>
              <w:ind w:right="2262"/>
              <w:spacing w:after="0"/>
              <w:rPr>
                <w:sz w:val="20"/>
                <w:szCs w:val="20"/>
                <w:color w:val="auto"/>
              </w:rPr>
            </w:pPr>
            <w:r>
              <w:rPr>
                <w:rFonts w:ascii="Arial" w:cs="Arial" w:eastAsia="Arial" w:hAnsi="Arial"/>
                <w:sz w:val="18"/>
                <w:szCs w:val="18"/>
                <w:color w:val="auto"/>
                <w:w w:val="92"/>
              </w:rPr>
              <w:t>(Address of principal executive offices)</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4"/>
              </w:rPr>
              <w:t>(Zip Code)</w:t>
            </w:r>
          </w:p>
        </w:tc>
      </w:tr>
      <w:tr>
        <w:trPr>
          <w:trHeight w:val="284"/>
        </w:trPr>
        <w:tc>
          <w:tcPr>
            <w:tcW w:w="2140" w:type="dxa"/>
            <w:vAlign w:val="bottom"/>
          </w:tcPr>
          <w:p>
            <w:pPr>
              <w:spacing w:after="0"/>
              <w:rPr>
                <w:sz w:val="24"/>
                <w:szCs w:val="24"/>
                <w:color w:val="auto"/>
              </w:rPr>
            </w:pPr>
          </w:p>
        </w:tc>
        <w:tc>
          <w:tcPr>
            <w:tcW w:w="4040" w:type="dxa"/>
            <w:vAlign w:val="bottom"/>
          </w:tcPr>
          <w:p>
            <w:pPr>
              <w:ind w:left="240"/>
              <w:spacing w:after="0"/>
              <w:rPr>
                <w:sz w:val="20"/>
                <w:szCs w:val="20"/>
                <w:color w:val="auto"/>
              </w:rPr>
            </w:pPr>
            <w:r>
              <w:rPr>
                <w:rFonts w:ascii="Arial" w:cs="Arial" w:eastAsia="Arial" w:hAnsi="Arial"/>
                <w:sz w:val="18"/>
                <w:szCs w:val="18"/>
                <w:color w:val="auto"/>
                <w:w w:val="90"/>
              </w:rPr>
              <w:t>Registrant’s telephone number, including area code:</w:t>
            </w:r>
          </w:p>
        </w:tc>
        <w:tc>
          <w:tcPr>
            <w:tcW w:w="3180" w:type="dxa"/>
            <w:vAlign w:val="bottom"/>
          </w:tcPr>
          <w:p>
            <w:pPr>
              <w:jc w:val="right"/>
              <w:ind w:right="2030"/>
              <w:spacing w:after="0"/>
              <w:rPr>
                <w:sz w:val="20"/>
                <w:szCs w:val="20"/>
                <w:color w:val="auto"/>
              </w:rPr>
            </w:pPr>
            <w:r>
              <w:rPr>
                <w:rFonts w:ascii="Arial" w:cs="Arial" w:eastAsia="Arial" w:hAnsi="Arial"/>
                <w:sz w:val="18"/>
                <w:szCs w:val="18"/>
                <w:b w:val="1"/>
                <w:bCs w:val="1"/>
                <w:color w:val="auto"/>
                <w:w w:val="92"/>
              </w:rPr>
              <w:t>913-661-1500</w:t>
            </w:r>
          </w:p>
        </w:tc>
      </w:tr>
    </w:tbl>
    <w:p>
      <w:pPr>
        <w:spacing w:after="0" w:line="4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6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7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ectPr>
          <w:pgSz w:w="11900" w:h="16838" w:orient="portrait"/>
          <w:cols w:equalWidth="0" w:num="1">
            <w:col w:w="11360"/>
          </w:cols>
          <w:pgMar w:left="240" w:top="409" w:right="29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Emerging growth company o</w:t>
      </w:r>
    </w:p>
    <w:p>
      <w:pPr>
        <w:spacing w:after="0" w:line="9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ind w:left="960"/>
              <w:spacing w:after="0"/>
              <w:rPr>
                <w:sz w:val="20"/>
                <w:szCs w:val="20"/>
                <w:color w:val="auto"/>
              </w:rPr>
            </w:pPr>
            <w:r>
              <w:rPr>
                <w:rFonts w:ascii="Arial" w:cs="Arial" w:eastAsia="Arial" w:hAnsi="Arial"/>
                <w:sz w:val="14"/>
                <w:szCs w:val="14"/>
                <w:b w:val="1"/>
                <w:bCs w:val="1"/>
                <w:color w:val="auto"/>
              </w:rPr>
              <w:t>Title of each class:</w:t>
            </w:r>
          </w:p>
        </w:tc>
        <w:tc>
          <w:tcPr>
            <w:tcW w:w="3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Trading Symbol(s)</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40" w:type="dxa"/>
            <w:vAlign w:val="bottom"/>
          </w:tcPr>
          <w:p>
            <w:pPr>
              <w:spacing w:after="0"/>
              <w:rPr>
                <w:sz w:val="14"/>
                <w:szCs w:val="14"/>
                <w:color w:val="auto"/>
              </w:rPr>
            </w:pPr>
          </w:p>
        </w:tc>
      </w:tr>
      <w:tr>
        <w:trPr>
          <w:trHeight w:val="224"/>
        </w:trPr>
        <w:tc>
          <w:tcPr>
            <w:tcW w:w="306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Common Units</w:t>
            </w:r>
          </w:p>
        </w:tc>
        <w:tc>
          <w:tcPr>
            <w:tcW w:w="280" w:type="dxa"/>
            <w:vAlign w:val="bottom"/>
          </w:tcPr>
          <w:p>
            <w:pPr>
              <w:spacing w:after="0"/>
              <w:rPr>
                <w:sz w:val="19"/>
                <w:szCs w:val="19"/>
                <w:color w:val="auto"/>
              </w:rPr>
            </w:pPr>
          </w:p>
        </w:tc>
        <w:tc>
          <w:tcPr>
            <w:tcW w:w="3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FGP</w:t>
            </w:r>
          </w:p>
        </w:tc>
        <w:tc>
          <w:tcPr>
            <w:tcW w:w="280" w:type="dxa"/>
            <w:vAlign w:val="bottom"/>
          </w:tcPr>
          <w:p>
            <w:pPr>
              <w:spacing w:after="0"/>
              <w:rPr>
                <w:sz w:val="19"/>
                <w:szCs w:val="19"/>
                <w:color w:val="auto"/>
              </w:rPr>
            </w:pPr>
          </w:p>
        </w:tc>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c>
          <w:tcPr>
            <w:tcW w:w="40" w:type="dxa"/>
            <w:vAlign w:val="bottom"/>
          </w:tcPr>
          <w:p>
            <w:pPr>
              <w:spacing w:after="0"/>
              <w:rPr>
                <w:sz w:val="19"/>
                <w:szCs w:val="19"/>
                <w:color w:val="auto"/>
              </w:rPr>
            </w:pPr>
          </w:p>
        </w:tc>
      </w:tr>
      <w:tr>
        <w:trPr>
          <w:trHeight w:val="148"/>
        </w:trPr>
        <w:tc>
          <w:tcPr>
            <w:tcW w:w="30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5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82"/>
        </w:trPr>
        <w:tc>
          <w:tcPr>
            <w:tcW w:w="30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5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213"/>
        </w:trPr>
        <w:tc>
          <w:tcPr>
            <w:tcW w:w="30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5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information included in Item 7.01 of this Current Report on Form 8-K is incorporated by reference into this Item 2.02 of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June 10, 2019, Ferrellgas Partners, L.P. issued a press release regarding its financial results for the third fiscal quarter ended April 30, 2019. A copy of this press release is furnished as Exhibit 99.1 to this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Exhibit 99.1 — Press release of Ferrellgas Partners, L.P. dated June 10, 2019, reporting its financial results for the third fiscal quarter ended April 30, 2019.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Limitation on Materiality and Incorporation by Reference</w:t>
      </w:r>
    </w:p>
    <w:p>
      <w:pPr>
        <w:spacing w:after="0" w:line="23"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information in this Current Report on Form 8-K related to Items 2.02 and 7.01, including Exhibit 99.1 furnished herewith, is being furnished to the SEC pursuant to Item 2.02 and Item 7.01 of Form 8-K and is not deemed to be “filed” with the SEC for purposes of Section 18 of the Exchange Act or otherwise subject to the liabilities of Section 18. In addition, such information is not to be incorporated by reference into any registration statement of Ferrellgas Partners, L.P., Ferrellgas Partners Finance Corp., Ferrellgas, L.P. or Ferrellgas Finance Corp. or other filings of such entities made pursuant to the Exchange Act or the Securities Act, unless specifically identified as being incorporated therein by reference.</w:t>
      </w:r>
    </w:p>
    <w:p>
      <w:pPr>
        <w:spacing w:after="0" w:line="17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The furnishing of particular information in this Current Report, including Exhibit 99.1 furnished herewith, pursuant to Item 7.01 of Form 8-K is not intended to, and does not, constitute a determination or admission by Ferrellgas Partners, L.P., Ferrellgas Partners Finance Corp., Ferrellgas, L.P. or Ferrellgas Finance Corp. as to the materiality or completeness of any such information that is required to be disclosed solely by Regulation FD of the Exchange Act.</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380" w:type="dxa"/>
            <w:vAlign w:val="bottom"/>
            <w:gridSpan w:val="2"/>
          </w:tcPr>
          <w:p>
            <w:pPr>
              <w:jc w:val="center"/>
              <w:ind w:right="2040"/>
              <w:spacing w:after="0"/>
              <w:rPr>
                <w:sz w:val="20"/>
                <w:szCs w:val="20"/>
                <w:color w:val="auto"/>
              </w:rPr>
            </w:pPr>
            <w:r>
              <w:rPr>
                <w:rFonts w:ascii="Arial" w:cs="Arial" w:eastAsia="Arial" w:hAnsi="Arial"/>
                <w:sz w:val="18"/>
                <w:szCs w:val="18"/>
                <w:color w:val="auto"/>
                <w:w w:val="95"/>
              </w:rPr>
              <w:t>Exhibit Index</w:t>
            </w:r>
          </w:p>
        </w:tc>
        <w:tc>
          <w:tcPr>
            <w:tcW w:w="40" w:type="dxa"/>
            <w:vAlign w:val="bottom"/>
          </w:tcPr>
          <w:p>
            <w:pPr>
              <w:spacing w:after="0"/>
              <w:rPr>
                <w:sz w:val="20"/>
                <w:szCs w:val="20"/>
                <w:color w:val="auto"/>
              </w:rPr>
            </w:pPr>
          </w:p>
        </w:tc>
      </w:tr>
      <w:tr>
        <w:trPr>
          <w:trHeight w:val="365"/>
        </w:trPr>
        <w:tc>
          <w:tcPr>
            <w:tcW w:w="12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w w:val="95"/>
              </w:rPr>
              <w:t>Exhibit No.</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gridSpan w:val="2"/>
          </w:tcPr>
          <w:p>
            <w:pPr>
              <w:ind w:left="41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385"/>
        </w:trPr>
        <w:tc>
          <w:tcPr>
            <w:tcW w:w="1260" w:type="dxa"/>
            <w:vAlign w:val="bottom"/>
          </w:tcPr>
          <w:p>
            <w:pPr>
              <w:jc w:val="right"/>
              <w:ind w:right="399"/>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9800" w:type="dxa"/>
            <w:vAlign w:val="bottom"/>
            <w:gridSpan w:val="4"/>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Press release of Ferrellgas Partners, L.P. dated June 10, 2019, reporting its financial results for the third fiscal quarter ended April 30,</w:t>
              </w:r>
            </w:hyperlink>
          </w:p>
        </w:tc>
        <w:tc>
          <w:tcPr>
            <w:tcW w:w="4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Borders>
              <w:top w:val="single" w:sz="8" w:color="0000EE"/>
            </w:tcBorders>
            <w:gridSpan w:val="2"/>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2019.</w:t>
              </w:r>
            </w:hyperlink>
          </w:p>
        </w:tc>
        <w:tc>
          <w:tcPr>
            <w:tcW w:w="91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26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9180" w:type="dxa"/>
            <w:vAlign w:val="bottom"/>
          </w:tcPr>
          <w:p>
            <w:pPr>
              <w:jc w:val="right"/>
              <w:ind w:right="5376"/>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91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registrants have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760" w:type="dxa"/>
            <w:vAlign w:val="bottom"/>
            <w:gridSpan w:val="2"/>
          </w:tcPr>
          <w:p>
            <w:pPr>
              <w:ind w:left="2080"/>
              <w:spacing w:after="0"/>
              <w:rPr>
                <w:sz w:val="20"/>
                <w:szCs w:val="20"/>
                <w:color w:val="auto"/>
              </w:rPr>
            </w:pPr>
            <w:r>
              <w:rPr>
                <w:rFonts w:ascii="Arial" w:cs="Arial" w:eastAsia="Arial" w:hAnsi="Arial"/>
                <w:sz w:val="18"/>
                <w:szCs w:val="18"/>
                <w:color w:val="auto"/>
              </w:rPr>
              <w:t>FERRELLGAS PARTNERS, L.P.</w:t>
            </w:r>
          </w:p>
        </w:tc>
        <w:tc>
          <w:tcPr>
            <w:tcW w:w="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760" w:type="dxa"/>
            <w:vAlign w:val="bottom"/>
            <w:gridSpan w:val="2"/>
          </w:tcPr>
          <w:p>
            <w:pPr>
              <w:ind w:left="2080"/>
              <w:spacing w:after="0"/>
              <w:rPr>
                <w:sz w:val="20"/>
                <w:szCs w:val="20"/>
                <w:color w:val="auto"/>
              </w:rPr>
            </w:pPr>
            <w:r>
              <w:rPr>
                <w:rFonts w:ascii="Arial" w:cs="Arial" w:eastAsia="Arial" w:hAnsi="Arial"/>
                <w:sz w:val="18"/>
                <w:szCs w:val="18"/>
                <w:color w:val="auto"/>
              </w:rPr>
              <w:t>By Ferrellgas, Inc. (General Partner)</w:t>
            </w: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40"/>
              <w:spacing w:after="0"/>
              <w:rPr>
                <w:sz w:val="20"/>
                <w:szCs w:val="20"/>
                <w:color w:val="auto"/>
              </w:rPr>
            </w:pPr>
            <w:r>
              <w:rPr>
                <w:rFonts w:ascii="Arial" w:cs="Arial" w:eastAsia="Arial" w:hAnsi="Arial"/>
                <w:sz w:val="18"/>
                <w:szCs w:val="18"/>
                <w:color w:val="auto"/>
              </w:rPr>
              <w:t>June 10, 2019</w:t>
            </w: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Ruisinger</w:t>
            </w:r>
          </w:p>
        </w:tc>
        <w:tc>
          <w:tcPr>
            <w:tcW w:w="40" w:type="dxa"/>
            <w:vAlign w:val="bottom"/>
          </w:tcPr>
          <w:p>
            <w:pPr>
              <w:spacing w:after="0"/>
              <w:rPr>
                <w:sz w:val="24"/>
                <w:szCs w:val="24"/>
                <w:color w:val="auto"/>
              </w:rPr>
            </w:pPr>
          </w:p>
        </w:tc>
      </w:tr>
      <w:tr>
        <w:trPr>
          <w:trHeight w:val="224"/>
        </w:trPr>
        <w:tc>
          <w:tcPr>
            <w:tcW w:w="5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40" w:type="dxa"/>
            <w:vAlign w:val="bottom"/>
          </w:tcPr>
          <w:p>
            <w:pPr>
              <w:spacing w:after="0"/>
              <w:rPr>
                <w:sz w:val="19"/>
                <w:szCs w:val="19"/>
                <w:color w:val="auto"/>
              </w:rPr>
            </w:pPr>
          </w:p>
        </w:tc>
      </w:tr>
      <w:tr>
        <w:trPr>
          <w:trHeight w:val="850"/>
        </w:trPr>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760" w:type="dxa"/>
            <w:vAlign w:val="bottom"/>
            <w:gridSpan w:val="2"/>
          </w:tcPr>
          <w:p>
            <w:pPr>
              <w:ind w:left="2080"/>
              <w:spacing w:after="0"/>
              <w:rPr>
                <w:sz w:val="20"/>
                <w:szCs w:val="20"/>
                <w:color w:val="auto"/>
              </w:rPr>
            </w:pPr>
            <w:r>
              <w:rPr>
                <w:rFonts w:ascii="Arial" w:cs="Arial" w:eastAsia="Arial" w:hAnsi="Arial"/>
                <w:sz w:val="18"/>
                <w:szCs w:val="18"/>
                <w:color w:val="auto"/>
              </w:rPr>
              <w:t>FERRELLGAS PARTNERS FINANCE CORP.</w:t>
            </w: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40"/>
              <w:spacing w:after="0"/>
              <w:rPr>
                <w:sz w:val="20"/>
                <w:szCs w:val="20"/>
                <w:color w:val="auto"/>
              </w:rPr>
            </w:pPr>
            <w:r>
              <w:rPr>
                <w:rFonts w:ascii="Arial" w:cs="Arial" w:eastAsia="Arial" w:hAnsi="Arial"/>
                <w:sz w:val="18"/>
                <w:szCs w:val="18"/>
                <w:color w:val="auto"/>
              </w:rPr>
              <w:t>June 10, 2019</w:t>
            </w: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Ruisinger</w:t>
            </w:r>
          </w:p>
        </w:tc>
        <w:tc>
          <w:tcPr>
            <w:tcW w:w="40" w:type="dxa"/>
            <w:vAlign w:val="bottom"/>
          </w:tcPr>
          <w:p>
            <w:pPr>
              <w:spacing w:after="0"/>
              <w:rPr>
                <w:sz w:val="24"/>
                <w:szCs w:val="24"/>
                <w:color w:val="auto"/>
              </w:rPr>
            </w:pPr>
          </w:p>
        </w:tc>
      </w:tr>
      <w:tr>
        <w:trPr>
          <w:trHeight w:val="224"/>
        </w:trPr>
        <w:tc>
          <w:tcPr>
            <w:tcW w:w="5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Interim Chief Financial Officer and Sole Director</w:t>
            </w:r>
          </w:p>
        </w:tc>
        <w:tc>
          <w:tcPr>
            <w:tcW w:w="40" w:type="dxa"/>
            <w:vAlign w:val="bottom"/>
          </w:tcPr>
          <w:p>
            <w:pPr>
              <w:spacing w:after="0"/>
              <w:rPr>
                <w:sz w:val="19"/>
                <w:szCs w:val="19"/>
                <w:color w:val="auto"/>
              </w:rPr>
            </w:pPr>
          </w:p>
        </w:tc>
      </w:tr>
      <w:tr>
        <w:trPr>
          <w:trHeight w:val="836"/>
        </w:trPr>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760" w:type="dxa"/>
            <w:vAlign w:val="bottom"/>
            <w:gridSpan w:val="2"/>
          </w:tcPr>
          <w:p>
            <w:pPr>
              <w:ind w:left="2080"/>
              <w:spacing w:after="0"/>
              <w:rPr>
                <w:sz w:val="20"/>
                <w:szCs w:val="20"/>
                <w:color w:val="auto"/>
              </w:rPr>
            </w:pPr>
            <w:r>
              <w:rPr>
                <w:rFonts w:ascii="Arial" w:cs="Arial" w:eastAsia="Arial" w:hAnsi="Arial"/>
                <w:sz w:val="18"/>
                <w:szCs w:val="18"/>
                <w:color w:val="auto"/>
              </w:rPr>
              <w:t>FERRELLGAS, L.P.</w:t>
            </w:r>
          </w:p>
        </w:tc>
        <w:tc>
          <w:tcPr>
            <w:tcW w:w="40" w:type="dxa"/>
            <w:vAlign w:val="bottom"/>
          </w:tcPr>
          <w:p>
            <w:pPr>
              <w:spacing w:after="0"/>
              <w:rPr>
                <w:sz w:val="24"/>
                <w:szCs w:val="24"/>
                <w:color w:val="auto"/>
              </w:rPr>
            </w:pPr>
          </w:p>
        </w:tc>
      </w:tr>
      <w:tr>
        <w:trPr>
          <w:trHeight w:val="230"/>
        </w:trPr>
        <w:tc>
          <w:tcPr>
            <w:tcW w:w="5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760" w:type="dxa"/>
            <w:vAlign w:val="bottom"/>
            <w:gridSpan w:val="2"/>
          </w:tcPr>
          <w:p>
            <w:pPr>
              <w:ind w:left="2080"/>
              <w:spacing w:after="0"/>
              <w:rPr>
                <w:sz w:val="20"/>
                <w:szCs w:val="20"/>
                <w:color w:val="auto"/>
              </w:rPr>
            </w:pPr>
            <w:r>
              <w:rPr>
                <w:rFonts w:ascii="Arial" w:cs="Arial" w:eastAsia="Arial" w:hAnsi="Arial"/>
                <w:sz w:val="18"/>
                <w:szCs w:val="18"/>
                <w:color w:val="auto"/>
              </w:rPr>
              <w:t>By Ferrellgas, Inc. (General Partner)</w:t>
            </w: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40"/>
              <w:spacing w:after="0"/>
              <w:rPr>
                <w:sz w:val="20"/>
                <w:szCs w:val="20"/>
                <w:color w:val="auto"/>
              </w:rPr>
            </w:pPr>
            <w:r>
              <w:rPr>
                <w:rFonts w:ascii="Arial" w:cs="Arial" w:eastAsia="Arial" w:hAnsi="Arial"/>
                <w:sz w:val="18"/>
                <w:szCs w:val="18"/>
                <w:color w:val="auto"/>
              </w:rPr>
              <w:t>June 10, 2019</w:t>
            </w: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Ruisinger</w:t>
            </w:r>
          </w:p>
        </w:tc>
        <w:tc>
          <w:tcPr>
            <w:tcW w:w="40" w:type="dxa"/>
            <w:vAlign w:val="bottom"/>
          </w:tcPr>
          <w:p>
            <w:pPr>
              <w:spacing w:after="0"/>
              <w:rPr>
                <w:sz w:val="24"/>
                <w:szCs w:val="24"/>
                <w:color w:val="auto"/>
              </w:rPr>
            </w:pPr>
          </w:p>
        </w:tc>
      </w:tr>
      <w:tr>
        <w:trPr>
          <w:trHeight w:val="224"/>
        </w:trPr>
        <w:tc>
          <w:tcPr>
            <w:tcW w:w="5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Interim Chief Financial Officer</w:t>
            </w:r>
          </w:p>
        </w:tc>
        <w:tc>
          <w:tcPr>
            <w:tcW w:w="40" w:type="dxa"/>
            <w:vAlign w:val="bottom"/>
          </w:tcPr>
          <w:p>
            <w:pPr>
              <w:spacing w:after="0"/>
              <w:rPr>
                <w:sz w:val="19"/>
                <w:szCs w:val="19"/>
                <w:color w:val="auto"/>
              </w:rPr>
            </w:pPr>
          </w:p>
        </w:tc>
      </w:tr>
      <w:tr>
        <w:trPr>
          <w:trHeight w:val="850"/>
        </w:trPr>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760" w:type="dxa"/>
            <w:vAlign w:val="bottom"/>
            <w:gridSpan w:val="2"/>
          </w:tcPr>
          <w:p>
            <w:pPr>
              <w:ind w:left="2080"/>
              <w:spacing w:after="0"/>
              <w:rPr>
                <w:sz w:val="20"/>
                <w:szCs w:val="20"/>
                <w:color w:val="auto"/>
              </w:rPr>
            </w:pPr>
            <w:r>
              <w:rPr>
                <w:rFonts w:ascii="Arial" w:cs="Arial" w:eastAsia="Arial" w:hAnsi="Arial"/>
                <w:sz w:val="18"/>
                <w:szCs w:val="18"/>
                <w:color w:val="auto"/>
              </w:rPr>
              <w:t>FERRELLGAS FINANCE CORP.</w:t>
            </w: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40"/>
              <w:spacing w:after="0"/>
              <w:rPr>
                <w:sz w:val="20"/>
                <w:szCs w:val="20"/>
                <w:color w:val="auto"/>
              </w:rPr>
            </w:pPr>
            <w:r>
              <w:rPr>
                <w:rFonts w:ascii="Arial" w:cs="Arial" w:eastAsia="Arial" w:hAnsi="Arial"/>
                <w:sz w:val="18"/>
                <w:szCs w:val="18"/>
                <w:color w:val="auto"/>
              </w:rPr>
              <w:t>June 10, 2019</w:t>
            </w:r>
          </w:p>
        </w:tc>
        <w:tc>
          <w:tcPr>
            <w:tcW w:w="2540" w:type="dxa"/>
            <w:vAlign w:val="bottom"/>
          </w:tcPr>
          <w:p>
            <w:pPr>
              <w:ind w:left="208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E. Ruisinger</w:t>
            </w:r>
          </w:p>
        </w:tc>
        <w:tc>
          <w:tcPr>
            <w:tcW w:w="40" w:type="dxa"/>
            <w:vAlign w:val="bottom"/>
          </w:tcPr>
          <w:p>
            <w:pPr>
              <w:spacing w:after="0"/>
              <w:rPr>
                <w:sz w:val="24"/>
                <w:szCs w:val="24"/>
                <w:color w:val="auto"/>
              </w:rPr>
            </w:pPr>
          </w:p>
        </w:tc>
      </w:tr>
      <w:tr>
        <w:trPr>
          <w:trHeight w:val="224"/>
        </w:trPr>
        <w:tc>
          <w:tcPr>
            <w:tcW w:w="5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Interim Chief Financial Officer and Sole Director</w:t>
            </w:r>
          </w:p>
        </w:tc>
        <w:tc>
          <w:tcPr>
            <w:tcW w:w="40" w:type="dxa"/>
            <w:vAlign w:val="bottom"/>
          </w:tcPr>
          <w:p>
            <w:pPr>
              <w:spacing w:after="0"/>
              <w:rPr>
                <w:sz w:val="19"/>
                <w:szCs w:val="19"/>
                <w:color w:val="auto"/>
              </w:rPr>
            </w:pPr>
          </w:p>
        </w:tc>
      </w:tr>
      <w:tr>
        <w:trPr>
          <w:trHeight w:val="418"/>
        </w:trPr>
        <w:tc>
          <w:tcPr>
            <w:tcW w:w="5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540" w:type="dxa"/>
            <w:vAlign w:val="bottom"/>
          </w:tcPr>
          <w:p>
            <w:pPr>
              <w:ind w:left="2000"/>
              <w:spacing w:after="0"/>
              <w:rPr>
                <w:sz w:val="20"/>
                <w:szCs w:val="20"/>
                <w:color w:val="auto"/>
              </w:rPr>
            </w:pPr>
            <w:r>
              <w:rPr>
                <w:rFonts w:ascii="Arial" w:cs="Arial" w:eastAsia="Arial" w:hAnsi="Arial"/>
                <w:sz w:val="18"/>
                <w:szCs w:val="18"/>
                <w:color w:val="auto"/>
              </w:rPr>
              <w:t>4</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2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FERRELLGAS PARTNERS, L.P. REPORTS FISCAL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2019 RESULTS</w:t>
      </w:r>
    </w:p>
    <w:p>
      <w:pPr>
        <w:spacing w:after="0" w:line="207" w:lineRule="exact"/>
        <w:rPr>
          <w:sz w:val="20"/>
          <w:szCs w:val="20"/>
          <w:color w:val="auto"/>
        </w:rPr>
      </w:pPr>
    </w:p>
    <w:p>
      <w:pPr>
        <w:ind w:left="660" w:right="300" w:hanging="328"/>
        <w:spacing w:after="0" w:line="261"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Total Retail propane sales volume for the quarter increased approximately 8 percent leading to almost 7 percent increase in gross margin dollars over the prior year on weather that was approximately 1 percent colder than the prior year</w:t>
      </w: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Retail customer growth of nearly 26,000, or 4 percent over prior year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Tank Exchange sale locations now exceed 54,300, up 600 locations from last quarter and 6 percent compared to prior year.</w:t>
      </w:r>
    </w:p>
    <w:p>
      <w:pPr>
        <w:spacing w:after="0" w:line="20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LIBERTY, Mo.</w:t>
      </w:r>
      <w:r>
        <w:rPr>
          <w:rFonts w:ascii="Arial" w:cs="Arial" w:eastAsia="Arial" w:hAnsi="Arial"/>
          <w:sz w:val="18"/>
          <w:szCs w:val="18"/>
          <w:color w:val="auto"/>
        </w:rPr>
        <w:t>, June 10, 2019 (GLOBE NEWSWIRE) — Ferrellgas Partners, L.P. (NYSE:FGP) (“Ferrellgas” or the “Company”) today reported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its fiscal third quarter ended April 30, 2019.</w:t>
      </w:r>
    </w:p>
    <w:p>
      <w:pPr>
        <w:spacing w:after="0" w:line="166"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quarter, the Company reported a net earnings attributable to Ferrellgas Partners, L.P. of $20.5 million, or $.21 per common unit, compared to prior year period net loss of $10.9 million, or $.11 per common unit.</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Adjusted EBITDA, a non-GAAP measure, was $88.6 million compared to $86.9 million in the prior year. The following table represents the contribution to adjusted EBITDA from ongoing propane operations as well as from assets that were sold during 2018.</w:t>
      </w:r>
    </w:p>
    <w:p>
      <w:pPr>
        <w:spacing w:after="0" w:line="162" w:lineRule="exact"/>
        <w:rPr>
          <w:sz w:val="20"/>
          <w:szCs w:val="20"/>
          <w:color w:val="auto"/>
        </w:rPr>
      </w:pPr>
    </w:p>
    <w:tbl>
      <w:tblPr>
        <w:tblLayout w:type="fixed"/>
        <w:tblInd w:w="140" w:type="dxa"/>
        <w:tblCellMar>
          <w:top w:w="0" w:type="dxa"/>
          <w:left w:w="0" w:type="dxa"/>
          <w:bottom w:w="0" w:type="dxa"/>
          <w:right w:w="0" w:type="dxa"/>
        </w:tblCellMar>
      </w:tblPr>
      <w:tr>
        <w:trPr>
          <w:trHeight w:val="171"/>
        </w:trPr>
        <w:tc>
          <w:tcPr>
            <w:tcW w:w="69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354"/>
              <w:spacing w:after="0"/>
              <w:rPr>
                <w:sz w:val="20"/>
                <w:szCs w:val="20"/>
                <w:color w:val="auto"/>
              </w:rPr>
            </w:pPr>
            <w:r>
              <w:rPr>
                <w:rFonts w:ascii="Arial" w:cs="Arial" w:eastAsia="Arial" w:hAnsi="Arial"/>
                <w:sz w:val="14"/>
                <w:szCs w:val="14"/>
                <w:b w:val="1"/>
                <w:bCs w:val="1"/>
                <w:color w:val="auto"/>
              </w:rPr>
              <w:t>Q3 2019</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Q3 2018</w:t>
            </w:r>
          </w:p>
        </w:tc>
      </w:tr>
      <w:tr>
        <w:trPr>
          <w:trHeight w:val="210"/>
        </w:trPr>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Propane Operations and Corporate Support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Results from Assets Sold in 2018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r>
      <w:tr>
        <w:trPr>
          <w:trHeight w:val="210"/>
        </w:trPr>
        <w:tc>
          <w:tcPr>
            <w:tcW w:w="69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 Adjusted EBITDA</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a trailing twelve month basis, adjusted EBITDA from ongoing propane operations and corporate support as of April 30, 2019 is $234.2 million compared to $229.4 million as of January 31, 2019.</w:t>
      </w:r>
    </w:p>
    <w:p>
      <w:pPr>
        <w:spacing w:after="0" w:line="170" w:lineRule="exact"/>
        <w:rPr>
          <w:sz w:val="20"/>
          <w:szCs w:val="20"/>
          <w:color w:val="auto"/>
        </w:rPr>
      </w:pPr>
    </w:p>
    <w:p>
      <w:pPr>
        <w:jc w:val="both"/>
        <w:ind w:right="260" w:firstLine="648"/>
        <w:spacing w:after="0" w:line="288" w:lineRule="auto"/>
        <w:rPr>
          <w:sz w:val="20"/>
          <w:szCs w:val="20"/>
          <w:color w:val="auto"/>
        </w:rPr>
      </w:pPr>
      <w:r>
        <w:rPr>
          <w:rFonts w:ascii="Arial" w:cs="Arial" w:eastAsia="Arial" w:hAnsi="Arial"/>
          <w:sz w:val="16"/>
          <w:szCs w:val="16"/>
          <w:color w:val="auto"/>
        </w:rPr>
        <w:t>The Company’s propane operations reported that total gallons sold of 264.1 million were 7% higher than prior year. Margin cents per gallon were 1.7¢, or 2.2 percent higher than the prior year despite increased competitive pressure in the tank exchange business. The Company continues its aggressive approach to gaining market share. This strategic focus resulted in nearly 26,000 new customers, or approximately 4 percent more than prior year.</w:t>
      </w:r>
    </w:p>
    <w:p>
      <w:pPr>
        <w:ind w:right="580"/>
        <w:spacing w:after="0" w:line="261" w:lineRule="auto"/>
        <w:rPr>
          <w:sz w:val="20"/>
          <w:szCs w:val="20"/>
          <w:color w:val="auto"/>
        </w:rPr>
      </w:pPr>
      <w:r>
        <w:rPr>
          <w:rFonts w:ascii="Arial" w:cs="Arial" w:eastAsia="Arial" w:hAnsi="Arial"/>
          <w:sz w:val="18"/>
          <w:szCs w:val="18"/>
          <w:color w:val="auto"/>
        </w:rPr>
        <w:t>Additionally, the Company’s current Blue Rhino tank exchange sales locations have increased over 6 percent from prior year to over 54,300 locations. Overall, the increase in sales volume growth and margins per gallon resulted in an increase in gross margin dollars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20"/>
        <w:spacing w:after="0" w:line="286" w:lineRule="auto"/>
        <w:rPr>
          <w:sz w:val="20"/>
          <w:szCs w:val="20"/>
          <w:color w:val="auto"/>
        </w:rPr>
      </w:pPr>
      <w:r>
        <w:rPr>
          <w:rFonts w:ascii="Arial" w:cs="Arial" w:eastAsia="Arial" w:hAnsi="Arial"/>
          <w:sz w:val="17"/>
          <w:szCs w:val="17"/>
          <w:color w:val="auto"/>
        </w:rPr>
        <w:t>of $18.3 million. The Company’s ongoing commitment to investing in the business led to higher operating expenses during the quarter which were largely associated with serving nearly 26,000 new customers and 3,000 new tank exchange locations. As a result of this investment and the growth in sales volumes, operating, general and administrative expenses in our Propane segment were $9.3 million higher than the prior year.</w:t>
      </w:r>
    </w:p>
    <w:p>
      <w:pPr>
        <w:spacing w:after="0" w:line="16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Liquidity of $292.3 million at April 30, 2019 resulted from $246.9 million of available borrowing capacity on the Company’s secured credit facility and accounts receivable securitization facility as well as $45.4 million of cash.</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previously announced, the Company indefinitely suspended its quarterly cash distribution as a result of not meeting the required fixed charge coverage ratio contained in the senior unsecured notes due 2020. Additionally, as the Company continues to evaluate options to address leverage, the Company does not intend to comment further on its progress in this regard or on potential options until further disclosure is appropriate or required by law. For that reason, and in view of the information the Company otherwise makes available in earnings releases and quarterly and annual reports, the Company is suspending the practice of holding conference calls with investors, analysts and other interested parties in connection with periodic reporting of financial results for completed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Ferrellgas</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Ferrellgas Partners, L.P., through its operating partnership, Ferrellgas, L.P., and subsidiaries, serves propane customers in all 50 states, the District of Columbia, and Puerto Rico. Ferrellgas employees indirectly own 22.8 million common units of the partnership, through an employee stock ownership plan. Ferrellgas Partners, L.P. filed a Form 10-K with the Securities and Exchange Commission on September 27, 2018. Investors can request a hard copy of this filing free of charge and obtain more information about the partnership online at www.ferrellgas.com.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Statements in this release concerning expectations for the future are forward-looking statements. A variety of known and unknown risks, uncertainties and other factors could cause results, performance, and expectations to differ materially from anticipated results, performance, and expectations. These risks, uncertainties, and other factors include those discussed in the Form 10-K of Ferrellgas Partners, L.P., Ferrellgas Partners Finance Corp., Ferrellgas, L.P., and Ferrellgas Finance Corp. for the fiscal year ended July 31, 2018, and in other documents filed from time to time by these entities with the Securities and Exchange Commission.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 InvestorRelations@ferrellgas.com</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April 30, 2019</w:t>
            </w:r>
          </w:p>
        </w:tc>
        <w:tc>
          <w:tcPr>
            <w:tcW w:w="180" w:type="dxa"/>
            <w:vAlign w:val="bottom"/>
          </w:tcPr>
          <w:p>
            <w:pPr>
              <w:spacing w:after="0"/>
              <w:rPr>
                <w:sz w:val="14"/>
                <w:szCs w:val="14"/>
                <w:color w:val="auto"/>
              </w:rPr>
            </w:pPr>
          </w:p>
        </w:tc>
        <w:tc>
          <w:tcPr>
            <w:tcW w:w="1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July 31, 2018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720" w:type="dxa"/>
            <w:vAlign w:val="bottom"/>
            <w:tcBorders>
              <w:top w:val="single" w:sz="8" w:color="CCEEFF"/>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45,434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119,311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Accounts and notes receivable, net (including $160,959 and $120,079 of accounts receivable pledged as</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collateral at April 30, 2019 and July 31, 2018, respectively)</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157,229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126,054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78,449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83,694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25,489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306,601</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603,923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557,723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247,508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246,098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109,634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120,951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62,326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1,329,992</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1,363,281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720" w:type="dxa"/>
            <w:vAlign w:val="bottom"/>
            <w:shd w:val="clear" w:color="auto" w:fill="CCEEFF"/>
          </w:tcPr>
          <w:p>
            <w:pPr>
              <w:spacing w:after="0"/>
              <w:rPr>
                <w:sz w:val="17"/>
                <w:szCs w:val="17"/>
                <w:color w:val="auto"/>
              </w:rPr>
            </w:pPr>
          </w:p>
        </w:tc>
        <w:tc>
          <w:tcPr>
            <w:tcW w:w="4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98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LIABILITIES AND PARTNERS’ DEFICIT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720" w:type="dxa"/>
            <w:vAlign w:val="bottom"/>
            <w:tcBorders>
              <w:top w:val="single" w:sz="8" w:color="auto"/>
            </w:tcBorders>
          </w:tcPr>
          <w:p>
            <w:pPr>
              <w:spacing w:after="0"/>
              <w:rPr>
                <w:sz w:val="2"/>
                <w:szCs w:val="2"/>
                <w:color w:val="auto"/>
              </w:rPr>
            </w:pPr>
          </w:p>
        </w:tc>
        <w:tc>
          <w:tcPr>
            <w:tcW w:w="4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80"/>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32,800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Collateralized note payable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62,000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8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160,507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142,025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263,915</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279,645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(a)</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2,084,506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2,078,637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35,879</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39,476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Contingencies and commitments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Partners’ Deficit: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80"/>
              <w:spacing w:after="0"/>
              <w:rPr>
                <w:sz w:val="20"/>
                <w:szCs w:val="20"/>
                <w:color w:val="auto"/>
              </w:rPr>
            </w:pPr>
            <w:r>
              <w:rPr>
                <w:rFonts w:ascii="Arial" w:cs="Arial" w:eastAsia="Arial" w:hAnsi="Arial"/>
                <w:sz w:val="18"/>
                <w:szCs w:val="18"/>
                <w:color w:val="auto"/>
              </w:rPr>
              <w:t>Common unitholders (97,152,665 units outstanding at April 30, 2019 and July 31, 2018)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(976,902)</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(978,503)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General partner unitholder (989,926 units outstanding at April 30, 2019 and July 31, 2018)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(69,776)</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20,510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 Ferrellgas Partners, L.P. Partners’ Deficit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(1,047,524)</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(1,027,785)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(6,784)</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b w:val="1"/>
                <w:bCs w:val="1"/>
                <w:color w:val="auto"/>
              </w:rPr>
              <w:t>Total Partners’ Deficit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(1,054,308)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(1,034,477)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Liabilities and Partners’ Deficit</w:t>
            </w:r>
          </w:p>
        </w:tc>
        <w:tc>
          <w:tcPr>
            <w:tcW w:w="3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1,329,992</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1,363,281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40" w:hanging="332"/>
        <w:spacing w:after="0" w:line="277" w:lineRule="auto"/>
        <w:tabs>
          <w:tab w:leader="none" w:pos="25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principal difference between the Ferrellgas Partners, L.P. balance sheet and that of Ferrellgas, L.P., is $357 million of 8.625% notes which are liabilities of Ferrellgas Partners, L.P. and not of Ferrellgas,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FERRELLGAS PARTNERS,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unit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4"/>
                <w:szCs w:val="14"/>
                <w:color w:val="auto"/>
              </w:rPr>
            </w:pPr>
          </w:p>
        </w:tc>
        <w:tc>
          <w:tcPr>
            <w:tcW w:w="23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220" w:type="dxa"/>
            <w:vAlign w:val="bottom"/>
          </w:tcPr>
          <w:p>
            <w:pPr>
              <w:spacing w:after="0"/>
              <w:rPr>
                <w:sz w:val="14"/>
                <w:szCs w:val="14"/>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97"/>
              </w:rPr>
              <w:t>April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80"/>
              <w:spacing w:after="0"/>
              <w:rPr>
                <w:sz w:val="20"/>
                <w:szCs w:val="20"/>
                <w:color w:val="auto"/>
              </w:rPr>
            </w:pPr>
            <w:r>
              <w:rPr>
                <w:rFonts w:ascii="Arial" w:cs="Arial" w:eastAsia="Arial" w:hAnsi="Arial"/>
                <w:sz w:val="14"/>
                <w:szCs w:val="14"/>
                <w:b w:val="1"/>
                <w:bCs w:val="1"/>
                <w:color w:val="auto"/>
                <w:w w:val="97"/>
              </w:rPr>
              <w:t>April 30</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480"/>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2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6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Revenues:</w:t>
            </w: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Propane and other gas liquids sales</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459,556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451,302</w:t>
            </w:r>
          </w:p>
        </w:tc>
        <w:tc>
          <w:tcPr>
            <w:tcW w:w="2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1,344,634</w:t>
            </w:r>
          </w:p>
        </w:tc>
        <w:tc>
          <w:tcPr>
            <w:tcW w:w="180" w:type="dxa"/>
            <w:vAlign w:val="bottom"/>
          </w:tcPr>
          <w:p>
            <w:pPr>
              <w:spacing w:after="0"/>
              <w:rPr>
                <w:sz w:val="17"/>
                <w:szCs w:val="17"/>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w w:val="92"/>
              </w:rPr>
              <w:t>1,346,299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1,641,311</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1,615,500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Midstream operations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260,631</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21,688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395,827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20,069</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41,913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60,677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118,691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89,833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147,670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b w:val="1"/>
                <w:bCs w:val="1"/>
                <w:color w:val="auto"/>
              </w:rPr>
              <w:t>Total revenues</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479,625</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515,810</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1,405,311</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1,725,621</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1,752,832</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2,158,997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Cost of sales: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Propane and other gas liquids sales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250,389</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260,419</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766,056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802,852</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936,618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945,279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Midstream operations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229,710</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358,716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2,320</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19,850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8,789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54,339</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23,104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68,393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b w:val="1"/>
                <w:bCs w:val="1"/>
                <w:color w:val="auto"/>
              </w:rPr>
              <w:t>Gross profit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226,916</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221,023</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630,466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638,720</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767,261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786,609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Operating expense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119,991</w:t>
            </w:r>
          </w:p>
        </w:tc>
        <w:tc>
          <w:tcPr>
            <w:tcW w:w="2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116,579</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351,541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350,757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472,532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460,234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20,617</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25,348</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76,565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84,444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102,370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General and administrative expense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11,516</w:t>
            </w:r>
          </w:p>
        </w:tc>
        <w:tc>
          <w:tcPr>
            <w:tcW w:w="2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11,678</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42,037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39,733</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56,705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52,824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Equipment lease expense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8,319</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20,828</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27,917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Non-cash employee stock ownership plan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gridSpan w:val="2"/>
          </w:tcPr>
          <w:p>
            <w:pPr>
              <w:ind w:left="160"/>
              <w:spacing w:after="0"/>
              <w:rPr>
                <w:sz w:val="20"/>
                <w:szCs w:val="20"/>
                <w:color w:val="auto"/>
              </w:rPr>
            </w:pPr>
            <w:r>
              <w:rPr>
                <w:rFonts w:ascii="Arial" w:cs="Arial" w:eastAsia="Arial" w:hAnsi="Arial"/>
                <w:sz w:val="16"/>
                <w:szCs w:val="16"/>
                <w:color w:val="auto"/>
              </w:rPr>
              <w:t>compensation charge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4,688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10,731</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14,423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Asset impairments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10,005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Loss on asset sales and disposals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1,683</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6,270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46,414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149,388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52,010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b w:val="1"/>
                <w:bCs w:val="1"/>
                <w:color w:val="auto"/>
              </w:rPr>
              <w:t>Operating income (loss)</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64,794</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51,277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139,986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83,687</w:t>
            </w: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(35,665)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66,826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(44,162)</w:t>
            </w:r>
          </w:p>
        </w:tc>
        <w:tc>
          <w:tcPr>
            <w:tcW w:w="24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(40,375)</w:t>
            </w:r>
          </w:p>
        </w:tc>
        <w:tc>
          <w:tcPr>
            <w:tcW w:w="2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(132,931)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(123,855)</w:t>
            </w: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(177,543)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(164,233)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income (expense), net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251</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1,422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Earnings (loss) before income tax benefit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20,883</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11,129</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7,411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(38,746)</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(213,346)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(95,944)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expense (benefit)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123</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282</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(2,676)</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earnings (loss)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20,760</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11,062</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(39,028)</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(210,670)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(95,277)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earnings (loss) attributable to noncontrolling</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interest (b)</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299</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earnings (loss) attributable to Ferrellgas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Partners, L.P.</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20,461</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(38,897)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(208,894)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(94,665)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Less: General partner’s interest in net earnings (loss)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205</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(389)</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Common unitholders’ interest in net earnings</w:t>
            </w: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20,256</w:t>
            </w:r>
          </w:p>
        </w:tc>
        <w:tc>
          <w:tcPr>
            <w:tcW w:w="240" w:type="dxa"/>
            <w:vAlign w:val="bottom"/>
            <w:vMerge w:val="restart"/>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10,752</w:t>
            </w:r>
          </w:p>
        </w:tc>
        <w:tc>
          <w:tcPr>
            <w:tcW w:w="2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6,722</w:t>
            </w:r>
          </w:p>
        </w:tc>
        <w:tc>
          <w:tcPr>
            <w:tcW w:w="180" w:type="dxa"/>
            <w:vAlign w:val="bottom"/>
            <w:shd w:val="clear" w:color="auto" w:fill="CCEEFF"/>
          </w:tcPr>
          <w:p>
            <w:pPr>
              <w:spacing w:after="0"/>
              <w:rPr>
                <w:sz w:val="16"/>
                <w:szCs w:val="16"/>
                <w:color w:val="auto"/>
              </w:rPr>
            </w:pPr>
          </w:p>
        </w:tc>
        <w:tc>
          <w:tcPr>
            <w:tcW w:w="4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(38,508)</w:t>
            </w:r>
          </w:p>
        </w:tc>
        <w:tc>
          <w:tcPr>
            <w:tcW w:w="220" w:type="dxa"/>
            <w:vAlign w:val="bottom"/>
            <w:vMerge w:val="restart"/>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(206,805)</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(93,718)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(loss)</w:t>
            </w:r>
          </w:p>
        </w:tc>
        <w:tc>
          <w:tcPr>
            <w:tcW w:w="38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6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Earnings (loss) Per Common Unit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2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vMerge w:val="continue"/>
          </w:tcPr>
          <w:p>
            <w:pPr>
              <w:spacing w:after="0"/>
              <w:rPr>
                <w:sz w:val="16"/>
                <w:szCs w:val="16"/>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Basic and diluted net earnings (loss) per common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160"/>
              <w:spacing w:after="0"/>
              <w:rPr>
                <w:sz w:val="20"/>
                <w:szCs w:val="20"/>
                <w:color w:val="auto"/>
              </w:rPr>
            </w:pPr>
            <w:r>
              <w:rPr>
                <w:rFonts w:ascii="Arial" w:cs="Arial" w:eastAsia="Arial" w:hAnsi="Arial"/>
                <w:sz w:val="16"/>
                <w:szCs w:val="16"/>
                <w:color w:val="auto"/>
              </w:rPr>
              <w:t>unitholders’ interest</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0.21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0.11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0.07</w:t>
            </w:r>
          </w:p>
        </w:tc>
        <w:tc>
          <w:tcPr>
            <w:tcW w:w="18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(0.40)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(2.13)</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(0.96)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w w:val="94"/>
              </w:rPr>
              <w:t>Weighted average common units outstanding - basic</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97,152.7</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97,152.7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97,152.7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97,152.7</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97,152.7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97,152.7</w:t>
            </w: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700" w:type="dxa"/>
            <w:vAlign w:val="bottom"/>
            <w:gridSpan w:val="13"/>
          </w:tcPr>
          <w:p>
            <w:pPr>
              <w:jc w:val="right"/>
              <w:ind w:right="20"/>
              <w:spacing w:after="0"/>
              <w:rPr>
                <w:sz w:val="20"/>
                <w:szCs w:val="20"/>
                <w:color w:val="auto"/>
              </w:rPr>
            </w:pPr>
            <w:r>
              <w:rPr>
                <w:rFonts w:ascii="Arial" w:cs="Arial" w:eastAsia="Arial" w:hAnsi="Arial"/>
                <w:sz w:val="18"/>
                <w:szCs w:val="18"/>
                <w:b w:val="1"/>
                <w:bCs w:val="1"/>
                <w:color w:val="auto"/>
              </w:rPr>
              <w:t>Supplemental Data and Reconciliation of Non-GAAP Items: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1"/>
              </w:rPr>
              <w:t>Three months ended</w:t>
            </w:r>
          </w:p>
        </w:tc>
        <w:tc>
          <w:tcPr>
            <w:tcW w:w="240" w:type="dxa"/>
            <w:vAlign w:val="bottom"/>
          </w:tcPr>
          <w:p>
            <w:pPr>
              <w:spacing w:after="0"/>
              <w:rPr>
                <w:sz w:val="19"/>
                <w:szCs w:val="19"/>
                <w:color w:val="auto"/>
              </w:rPr>
            </w:pPr>
          </w:p>
        </w:tc>
        <w:tc>
          <w:tcPr>
            <w:tcW w:w="236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0"/>
              </w:rPr>
              <w:t>Nine months ended</w:t>
            </w:r>
          </w:p>
        </w:tc>
        <w:tc>
          <w:tcPr>
            <w:tcW w:w="220" w:type="dxa"/>
            <w:vAlign w:val="bottom"/>
          </w:tcPr>
          <w:p>
            <w:pPr>
              <w:spacing w:after="0"/>
              <w:rPr>
                <w:sz w:val="19"/>
                <w:szCs w:val="19"/>
                <w:color w:val="auto"/>
              </w:rPr>
            </w:pPr>
          </w:p>
        </w:tc>
        <w:tc>
          <w:tcPr>
            <w:tcW w:w="220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0"/>
              </w:rPr>
              <w:t>Twelve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97"/>
              </w:rPr>
              <w:t>April 30</w:t>
            </w:r>
          </w:p>
        </w:tc>
        <w:tc>
          <w:tcPr>
            <w:tcW w:w="8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380"/>
              <w:spacing w:after="0"/>
              <w:rPr>
                <w:sz w:val="20"/>
                <w:szCs w:val="20"/>
                <w:color w:val="auto"/>
              </w:rPr>
            </w:pPr>
            <w:r>
              <w:rPr>
                <w:rFonts w:ascii="Arial" w:cs="Arial" w:eastAsia="Arial" w:hAnsi="Arial"/>
                <w:sz w:val="14"/>
                <w:szCs w:val="14"/>
                <w:b w:val="1"/>
                <w:bCs w:val="1"/>
                <w:color w:val="auto"/>
                <w:w w:val="97"/>
              </w:rPr>
              <w:t>April 30</w:t>
            </w:r>
          </w:p>
        </w:tc>
        <w:tc>
          <w:tcPr>
            <w:tcW w:w="6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480"/>
              <w:spacing w:after="0"/>
              <w:rPr>
                <w:sz w:val="20"/>
                <w:szCs w:val="20"/>
                <w:color w:val="auto"/>
              </w:rPr>
            </w:pPr>
            <w:r>
              <w:rPr>
                <w:rFonts w:ascii="Arial" w:cs="Arial" w:eastAsia="Arial" w:hAnsi="Arial"/>
                <w:sz w:val="14"/>
                <w:szCs w:val="14"/>
                <w:b w:val="1"/>
                <w:bCs w:val="1"/>
                <w:color w:val="auto"/>
              </w:rPr>
              <w:t>April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Net earnings (loss) attributable to Ferrellgas</w:t>
            </w: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Partners, L.P.</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20,461</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6,790</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(38,897)</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(208,894)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(94,665)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Income tax expense (benefit)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123</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282</w:t>
            </w:r>
          </w:p>
        </w:tc>
        <w:tc>
          <w:tcPr>
            <w:tcW w:w="2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(2,676)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44,162</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40,375</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132,931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123,855</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177,543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164,233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20,617</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25,348</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59,214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76,565</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84,444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102,370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85,363</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76,651</w:t>
            </w: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199,219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161,805</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50,417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171,271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Non-cash employee stock ownership plan</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compensation charge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10,731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14,423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Asset impairments</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10,005</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Loss on asset sales and disposal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1,683</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6,270</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8,403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46,414</w:t>
            </w: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149,388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52,010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income (expense), net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(251)</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(227)</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(1,422)</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w w:val="95"/>
              </w:rPr>
              <w:t>Severance costs $690 included in operating costs</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1,600</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6"/>
                <w:szCs w:val="16"/>
                <w:color w:val="auto"/>
              </w:rPr>
              <w:t>1,663</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1,663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for the nine and twelve months ended period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April 30, 2019 and $910 included in general</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6"/>
          <w:szCs w:val="16"/>
          <w:color w:val="auto"/>
        </w:rPr>
        <w:t>and administrative costs for the nine and</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twelve months ended April 30, 2019. Also</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includes $358 in operating costs for the nine</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and twelve months ended period April 30,</w:t>
      </w:r>
    </w:p>
    <w:p>
      <w:pPr>
        <w:sectPr>
          <w:pgSz w:w="11900" w:h="16838" w:orient="portrait"/>
          <w:cols w:equalWidth="0" w:num="1">
            <w:col w:w="11420"/>
          </w:cols>
          <w:pgMar w:left="240" w:top="337" w:right="23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2018 and $1,305 included in general and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administrative costs for the nine and twelve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months ended April 30, 2018.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Legal fees and settlements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1,471</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3,407</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3,407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Multi-employer pension plan withdrawal</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settlement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1,524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8"/>
              </w:rPr>
              <w:t>Exit costs associated with contracts - Midstream</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dispositions</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11,804</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w w:val="96"/>
              </w:rPr>
              <w:t>Unrealized (non-cash) losses (gains) on changes</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in fair value of derivatives $(759) included in</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w w:val="94"/>
              </w:rPr>
              <w:t>operating expense for the twelve months ended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April 30, 2018. Also includes $1,293 and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w w:val="98"/>
              </w:rPr>
              <w:t>$3,044 included in midstream operations cost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w w:val="97"/>
              </w:rPr>
              <w:t>of sales for the nine and twelve months ended</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60" w:type="dxa"/>
            <w:vAlign w:val="bottom"/>
            <w:gridSpan w:val="2"/>
          </w:tcPr>
          <w:p>
            <w:pPr>
              <w:ind w:left="360"/>
              <w:spacing w:after="0"/>
              <w:rPr>
                <w:sz w:val="20"/>
                <w:szCs w:val="20"/>
                <w:color w:val="auto"/>
              </w:rPr>
            </w:pPr>
            <w:r>
              <w:rPr>
                <w:rFonts w:ascii="Arial" w:cs="Arial" w:eastAsia="Arial" w:hAnsi="Arial"/>
                <w:sz w:val="16"/>
                <w:szCs w:val="16"/>
                <w:color w:val="auto"/>
              </w:rPr>
              <w:t>April 30, 2018, respectively.</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1,293</w:t>
            </w:r>
          </w:p>
        </w:tc>
        <w:tc>
          <w:tcPr>
            <w:tcW w:w="2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8"/>
              </w:rPr>
              <w:t>Net earnings (loss) attributable to noncontrolling</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interest (b)</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299</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(131)</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(1,776)</w:t>
            </w:r>
          </w:p>
        </w:tc>
        <w:tc>
          <w:tcPr>
            <w:tcW w:w="2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b w:val="1"/>
                <w:bCs w:val="1"/>
                <w:color w:val="auto"/>
              </w:rPr>
              <w:t>Adjusted EBITDA (c)</w:t>
            </w: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88,561</w:t>
            </w:r>
          </w:p>
        </w:tc>
        <w:tc>
          <w:tcPr>
            <w:tcW w:w="3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86,922</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226,058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233,765</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234,212</w:t>
            </w:r>
          </w:p>
        </w:tc>
        <w:tc>
          <w:tcPr>
            <w:tcW w:w="2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252,989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cash interest expense (d)</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(40,747)</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(37,873)</w:t>
            </w: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(123,325)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(115,664)</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(168,553)</w:t>
            </w:r>
          </w:p>
        </w:tc>
        <w:tc>
          <w:tcPr>
            <w:tcW w:w="2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(153,782)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Maintenance capital expenditures (e)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(13,506)</w:t>
            </w:r>
          </w:p>
        </w:tc>
        <w:tc>
          <w:tcPr>
            <w:tcW w:w="28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(5,741)</w:t>
            </w:r>
          </w:p>
        </w:tc>
        <w:tc>
          <w:tcPr>
            <w:tcW w:w="260" w:type="dxa"/>
            <w:vAlign w:val="bottom"/>
          </w:tcPr>
          <w:p>
            <w:pPr>
              <w:spacing w:after="0"/>
              <w:rPr>
                <w:sz w:val="17"/>
                <w:szCs w:val="17"/>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(45,038)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(19,085)</w:t>
            </w:r>
          </w:p>
        </w:tc>
        <w:tc>
          <w:tcPr>
            <w:tcW w:w="26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(53,570)</w:t>
            </w:r>
          </w:p>
        </w:tc>
        <w:tc>
          <w:tcPr>
            <w:tcW w:w="260" w:type="dxa"/>
            <w:vAlign w:val="bottom"/>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(25,502)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Cash refund from (paid for) taxes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458</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(188)</w:t>
            </w: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Proceeds from certain asset sales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456</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4,355</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7,264</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8,144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6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Distributable cash flow attributable to equity</w:t>
            </w:r>
          </w:p>
        </w:tc>
        <w:tc>
          <w:tcPr>
            <w:tcW w:w="16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investors (f)</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34,741</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103,829</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19,165</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82,025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Distributable cash flow attributable to general</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gridSpan w:val="2"/>
          </w:tcPr>
          <w:p>
            <w:pPr>
              <w:ind w:left="160"/>
              <w:spacing w:after="0"/>
              <w:rPr>
                <w:sz w:val="20"/>
                <w:szCs w:val="20"/>
                <w:color w:val="auto"/>
              </w:rPr>
            </w:pPr>
            <w:r>
              <w:rPr>
                <w:rFonts w:ascii="Arial" w:cs="Arial" w:eastAsia="Arial" w:hAnsi="Arial"/>
                <w:sz w:val="16"/>
                <w:szCs w:val="16"/>
                <w:color w:val="auto"/>
              </w:rPr>
              <w:t>partner and non-controlling interest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695</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879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1,202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2,077</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1,641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560" w:type="dxa"/>
            <w:vAlign w:val="bottom"/>
            <w:tcBorders>
              <w:top w:val="single" w:sz="8" w:color="CCEEFF"/>
            </w:tcBorders>
            <w:gridSpan w:val="2"/>
            <w:shd w:val="clear" w:color="auto" w:fill="CCEEFF"/>
          </w:tcPr>
          <w:p>
            <w:pPr>
              <w:spacing w:after="0" w:line="179" w:lineRule="exact"/>
              <w:rPr>
                <w:sz w:val="20"/>
                <w:szCs w:val="20"/>
                <w:color w:val="auto"/>
              </w:rPr>
            </w:pPr>
            <w:r>
              <w:rPr>
                <w:rFonts w:ascii="Arial" w:cs="Arial" w:eastAsia="Arial" w:hAnsi="Arial"/>
                <w:sz w:val="16"/>
                <w:szCs w:val="16"/>
                <w:color w:val="auto"/>
              </w:rPr>
              <w:t>Distributable cash flow attributable to common</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unitholders (g)</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34,046</w:t>
            </w: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43,047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101,752</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80,384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6"/>
                <w:szCs w:val="16"/>
                <w:color w:val="auto"/>
              </w:rPr>
              <w:t>Less: Distributions paid to common unitholders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9,715</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9,715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29,146</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19,430</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38,861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Distributable cash flow excess/(shortage)</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34,046</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33,332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72,606</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41,523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Propane gallons sales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Retail - Sales to End Users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6"/>
                <w:szCs w:val="16"/>
                <w:color w:val="auto"/>
              </w:rPr>
              <w:t>204,441</w:t>
            </w: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189,183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573,152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543,548</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666,572</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635,326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Wholesale - Sales to Resellers</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59,641</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57,121</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179,256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185,492</w:t>
            </w: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233,974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241,710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propane gallons sales</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264,082</w:t>
            </w:r>
          </w:p>
        </w:tc>
        <w:tc>
          <w:tcPr>
            <w:tcW w:w="3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246,304</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752,408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729,040</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900,546</w:t>
            </w:r>
          </w:p>
        </w:tc>
        <w:tc>
          <w:tcPr>
            <w:tcW w:w="2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877,036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tcBorders>
              <w:bottom w:val="single" w:sz="8" w:color="808080"/>
            </w:tcBorders>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allocated to the general partner for its 1.0101% interest in the operating partnership, Ferrellgas, L.P.</w:t>
      </w:r>
    </w:p>
    <w:p>
      <w:pPr>
        <w:spacing w:after="0" w:line="22" w:lineRule="exact"/>
        <w:rPr>
          <w:rFonts w:ascii="Arial" w:cs="Arial" w:eastAsia="Arial" w:hAnsi="Arial"/>
          <w:sz w:val="16"/>
          <w:szCs w:val="16"/>
          <w:color w:val="auto"/>
        </w:rPr>
      </w:pPr>
    </w:p>
    <w:p>
      <w:pPr>
        <w:ind w:left="260" w:right="60" w:hanging="252"/>
        <w:spacing w:after="0" w:line="264" w:lineRule="auto"/>
        <w:tabs>
          <w:tab w:leader="none" w:pos="262" w:val="left"/>
        </w:tabs>
        <w:numPr>
          <w:ilvl w:val="0"/>
          <w:numId w:val="4"/>
        </w:numPr>
        <w:rPr>
          <w:rFonts w:ascii="Arial" w:cs="Arial" w:eastAsia="Arial" w:hAnsi="Arial"/>
          <w:sz w:val="16"/>
          <w:szCs w:val="16"/>
          <w:color w:val="auto"/>
        </w:rPr>
      </w:pPr>
      <w:r>
        <w:rPr>
          <w:rFonts w:ascii="Arial" w:cs="Arial" w:eastAsia="Arial" w:hAnsi="Arial"/>
          <w:sz w:val="16"/>
          <w:szCs w:val="16"/>
          <w:color w:val="auto"/>
        </w:rPr>
        <w:t>Adjusted EBITDA is calculated as net earnings (loss) attributable to Ferrellgas Partners, L.P., less the sum of the following: income tax expense (benefit), interest expense, depreciation and amortization expense, non-cash employee stock ownership plan compensation charge, asset impairments, loss on asset sales and disposal, other income (expense), net, severance costs, legal fees and settlements, multi-employer pension plan withdrawal settlement, exit costs associated with contracts - Midstream dispositions, unrealized (non-cash) losses (gains) on changes in fair value of derivatives, and net earnings (loss) attributable to noncontrolling interest. Management believes the presentation of this measure is relevant and useful, because it allows investors to view the partnership’s performance in a manner similar to the method management uses, adjusted for items management believes makes it easier to compare its results with other companies that have different financing and capital structures. This method of calculating Adjusted EBITDA may not be consistent with that of other companies and should be viewed in conjunction with measurements that are computed in accordance with GAAP.</w:t>
      </w:r>
    </w:p>
    <w:p>
      <w:pPr>
        <w:spacing w:after="0" w:line="1" w:lineRule="exact"/>
        <w:rPr>
          <w:rFonts w:ascii="Arial" w:cs="Arial" w:eastAsia="Arial" w:hAnsi="Arial"/>
          <w:sz w:val="16"/>
          <w:szCs w:val="16"/>
          <w:color w:val="auto"/>
        </w:rPr>
      </w:pPr>
    </w:p>
    <w:p>
      <w:pPr>
        <w:ind w:left="260" w:right="20" w:hanging="252"/>
        <w:spacing w:after="0" w:line="264" w:lineRule="auto"/>
        <w:tabs>
          <w:tab w:leader="none" w:pos="257" w:val="left"/>
        </w:tabs>
        <w:numPr>
          <w:ilvl w:val="0"/>
          <w:numId w:val="4"/>
        </w:numPr>
        <w:rPr>
          <w:rFonts w:ascii="Arial" w:cs="Arial" w:eastAsia="Arial" w:hAnsi="Arial"/>
          <w:sz w:val="16"/>
          <w:szCs w:val="16"/>
          <w:color w:val="auto"/>
        </w:rPr>
      </w:pPr>
      <w:r>
        <w:rPr>
          <w:rFonts w:ascii="Arial" w:cs="Arial" w:eastAsia="Arial" w:hAnsi="Arial"/>
          <w:sz w:val="16"/>
          <w:szCs w:val="16"/>
          <w:color w:val="auto"/>
        </w:rPr>
        <w:t>Net cash interest expense is the sum of interest expense less non-cash interest expense and other expense, net. This amount includes interest expense related to the accounts receivable securitization facility.</w:t>
      </w:r>
    </w:p>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Maintenance capital expenditures include capitalized expenditures for betterment and replacement of property, plant and equipment.</w:t>
      </w:r>
    </w:p>
    <w:p>
      <w:pPr>
        <w:spacing w:after="0" w:line="18" w:lineRule="exact"/>
        <w:rPr>
          <w:rFonts w:ascii="Arial" w:cs="Arial" w:eastAsia="Arial" w:hAnsi="Arial"/>
          <w:sz w:val="16"/>
          <w:szCs w:val="16"/>
          <w:color w:val="auto"/>
        </w:rPr>
      </w:pPr>
    </w:p>
    <w:p>
      <w:pPr>
        <w:ind w:left="260" w:right="100" w:hanging="252"/>
        <w:spacing w:after="0" w:line="264" w:lineRule="auto"/>
        <w:tabs>
          <w:tab w:leader="none" w:pos="257"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Distributable cash flow attributable to equity investors is calculated as Adjusted EBITDA minus net cash interest expense, maintenance capital expenditures and cash paid for taxes plus proceeds from certain asset sales. Management considers distributable cash flow attributable to equity investors a meaningful measure of the partnership’s ability to declare and pay quarterly distributions to equity investors. Distributable cash flow attributable to equity investors, as management defines it, may not be comparable to distributable cash flow attributable to equity investors or similarly titled measurements used by other corporations and partnerships. Items added into our calculation of distributable cash flow attributable to equity investors that will not occur on a continuing basis may have associated cash payments. Distributable cash flow attributable to equity investors may not be consistent with that of other companies and should be viewed in conjunction with measurements that are computed in accordance with GAAP.</w:t>
      </w:r>
    </w:p>
    <w:p>
      <w:pPr>
        <w:spacing w:after="0" w:line="1" w:lineRule="exact"/>
        <w:rPr>
          <w:rFonts w:ascii="Arial" w:cs="Arial" w:eastAsia="Arial" w:hAnsi="Arial"/>
          <w:sz w:val="16"/>
          <w:szCs w:val="16"/>
          <w:color w:val="auto"/>
        </w:rPr>
      </w:pPr>
    </w:p>
    <w:p>
      <w:pPr>
        <w:ind w:left="260" w:right="20" w:hanging="252"/>
        <w:spacing w:after="0" w:line="268" w:lineRule="auto"/>
        <w:tabs>
          <w:tab w:leader="none" w:pos="257"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Distributable cash flow attributable to common unitholders is calculated as Distributable cash flow attributable to equity investors minus distributable cash flow attributable to general partner and noncontrolling interest. Management considers distributable cash flow attributable to common unitholders a meaningful measure of the partnership’s ability to declare and pay quarterly distributions to common unitholders. Distributable cash flow attributable to common unitholders, as management defines it, may not be comparable to distributable cash flow attributable to common unitholders or similarly titled measurements used by other corporations and partnerships. Items added to our calculation of distributable cash flow attributable to common unit holders that will not occur on a continuing basis may have associated cash payments. Distributable cash flow attributable to common unitholders may not be consistent with that of other companies and should be viewed in conjunction with measurements that are computed in accordance with GAAP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3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2019-12-28T11:05:32Z</dcterms:created>
  <dcterms:modified xsi:type="dcterms:W3CDTF">2019-12-28T11:05:32Z</dcterms:modified>
</cp:coreProperties>
</file>