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2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-233045</wp:posOffset>
            </wp:positionV>
            <wp:extent cx="126365" cy="126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-676910</wp:posOffset>
            </wp:positionV>
            <wp:extent cx="126365" cy="1263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36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5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5300980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4030980</wp:posOffset>
            </wp:positionH>
            <wp:positionV relativeFrom="paragraph">
              <wp:posOffset>-642620</wp:posOffset>
            </wp:positionV>
            <wp:extent cx="59055" cy="655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-1595755</wp:posOffset>
            </wp:positionH>
            <wp:positionV relativeFrom="paragraph">
              <wp:posOffset>767080</wp:posOffset>
            </wp:positionV>
            <wp:extent cx="6990080" cy="50806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0080" cy="5080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160"/>
            <w:col w:w="8580"/>
          </w:cols>
          <w:pgMar w:left="460" w:top="218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FERRELL JAMES E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 w:line="106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FERRELLGAS PARTNERS L 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NONE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FERRELLGAS, INC.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LIBERTY PLAZA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2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64068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20" w:type="dxa"/>
            <w:vAlign w:val="bottom"/>
            <w:gridSpan w:val="8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Units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15,600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15,600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00" w:type="dxa"/>
            <w:vAlign w:val="bottom"/>
            <w:gridSpan w:val="11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03/16/2026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3,120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-2148840</wp:posOffset>
            </wp:positionV>
            <wp:extent cx="29210" cy="21532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53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 w:right="240" w:firstLine="6"/>
        <w:spacing w:after="0" w:line="270" w:lineRule="auto"/>
        <w:tabs>
          <w:tab w:leader="none" w:pos="172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16, 2026, all of the Issuer's outstanding Class B Units were converted into Class A Units of the Issuer at a conversion rate of five Class A Units for each Class B Unit. The Class B Units were convertible at the option of the Issuer, subject to satisfaction of a specified condition, at specified conversion rates applicable to specified time periods. The Class B Units had no expiration date.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James E. Ferrell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03/26/2026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38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2835" TargetMode="External"/><Relationship Id="rId14" Type="http://schemas.openxmlformats.org/officeDocument/2006/relationships/hyperlink" Target="http://www.sec.gov/cgi-bin/browse-edgar?action=getcompany&amp;CIK=0000922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2026-03-26T10:23:58Z</dcterms:created>
  <dcterms:modified xsi:type="dcterms:W3CDTF">2026-03-26T10:23:58Z</dcterms:modified>
</cp:coreProperties>
</file>