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4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-231140</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21"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-672465</wp:posOffset>
            </wp:positionV>
            <wp:extent cx="125095" cy="125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40" w:type="dxa"/>
            <w:vAlign w:val="bottom"/>
          </w:tcPr>
          <w:p>
            <w:pPr>
              <w:jc w:val="center"/>
              <w:ind w:right="9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95"/>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95"/>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40" w:type="dxa"/>
            <w:vAlign w:val="bottom"/>
            <w:vMerge w:val="restart"/>
          </w:tcPr>
          <w:p>
            <w:pPr>
              <w:jc w:val="center"/>
              <w:ind w:right="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5289550</wp:posOffset>
            </wp:positionH>
            <wp:positionV relativeFrom="paragraph">
              <wp:posOffset>-637540</wp:posOffset>
            </wp:positionV>
            <wp:extent cx="59055" cy="650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0875"/>
                    </a:xfrm>
                    <a:prstGeom prst="rect">
                      <a:avLst/>
                    </a:prstGeom>
                    <a:noFill/>
                  </pic:spPr>
                </pic:pic>
              </a:graphicData>
            </a:graphic>
          </wp:anchor>
        </w:drawing>
        <w:drawing>
          <wp:anchor simplePos="0" relativeHeight="251657728" behindDoc="1" locked="0" layoutInCell="0" allowOverlap="1">
            <wp:simplePos x="0" y="0"/>
            <wp:positionH relativeFrom="column">
              <wp:posOffset>4013200</wp:posOffset>
            </wp:positionH>
            <wp:positionV relativeFrom="paragraph">
              <wp:posOffset>-637540</wp:posOffset>
            </wp:positionV>
            <wp:extent cx="59055" cy="650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08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759460</wp:posOffset>
            </wp:positionV>
            <wp:extent cx="6991350" cy="5531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1350" cy="5531485"/>
                    </a:xfrm>
                    <a:prstGeom prst="rect">
                      <a:avLst/>
                    </a:prstGeom>
                    <a:noFill/>
                  </pic:spPr>
                </pic:pic>
              </a:graphicData>
            </a:graphic>
          </wp:anchor>
        </w:drawing>
      </w:r>
    </w:p>
    <w:p>
      <w:pPr>
        <w:spacing w:after="0" w:line="1211" w:lineRule="exact"/>
        <w:rPr>
          <w:sz w:val="24"/>
          <w:szCs w:val="24"/>
          <w:color w:val="auto"/>
        </w:rPr>
      </w:pPr>
    </w:p>
    <w:p>
      <w:pPr>
        <w:sectPr>
          <w:pgSz w:w="11900" w:h="16838" w:orient="portrait"/>
          <w:cols w:equalWidth="0" w:num="2">
            <w:col w:w="2340" w:space="180"/>
            <w:col w:w="856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Hawks Carney</w:t>
              </w:r>
            </w:hyperlink>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760" w:type="dxa"/>
            <w:vAlign w:val="bottom"/>
            <w:gridSpan w:val="2"/>
          </w:tcPr>
          <w:p>
            <w:pPr>
              <w:spacing w:after="0" w:line="105"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FERRELLGAS PARTNERS L 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NONE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780" w:type="dxa"/>
            <w:vAlign w:val="bottom"/>
            <w:tcBorders>
              <w:bottom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05/18/2026</w:t>
            </w:r>
          </w:p>
        </w:tc>
        <w:tc>
          <w:tcPr>
            <w:tcW w:w="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FERRELLGAS, INC.</w:t>
            </w:r>
          </w:p>
        </w:tc>
        <w:tc>
          <w:tcPr>
            <w:tcW w:w="1480" w:type="dxa"/>
            <w:vAlign w:val="bottom"/>
          </w:tcPr>
          <w:p>
            <w:pPr>
              <w:spacing w:after="0"/>
              <w:rPr>
                <w:sz w:val="11"/>
                <w:szCs w:val="11"/>
                <w:color w:val="auto"/>
              </w:rPr>
            </w:pPr>
          </w:p>
        </w:tc>
        <w:tc>
          <w:tcPr>
            <w:tcW w:w="2940" w:type="dxa"/>
            <w:vAlign w:val="bottom"/>
            <w:gridSpan w:val="3"/>
            <w:vMerge w:val="continue"/>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7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22"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33"/>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LIBERTY</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MO</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64068</w:t>
            </w:r>
          </w:p>
        </w:tc>
      </w:tr>
      <w:tr>
        <w:trPr>
          <w:trHeight w:val="151"/>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58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34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4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Of (D) (Instr. 3, 4 and 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260"/>
              <w:spacing w:after="0" w:line="132" w:lineRule="exact"/>
              <w:rPr>
                <w:sz w:val="20"/>
                <w:szCs w:val="20"/>
                <w:color w:val="auto"/>
              </w:rPr>
            </w:pPr>
            <w:r>
              <w:rPr>
                <w:rFonts w:ascii="Arial" w:cs="Arial" w:eastAsia="Arial" w:hAnsi="Arial"/>
                <w:sz w:val="12"/>
                <w:szCs w:val="12"/>
                <w:b w:val="1"/>
                <w:bCs w:val="1"/>
                <w:color w:val="auto"/>
              </w:rPr>
              <w:t>(Month/Day/Year)  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20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44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0" w:type="dxa"/>
            <w:vAlign w:val="bottom"/>
            <w:gridSpan w:val="2"/>
          </w:tcPr>
          <w:p>
            <w:pPr>
              <w:jc w:val="center"/>
              <w:spacing w:after="0" w:line="132" w:lineRule="exact"/>
              <w:rPr>
                <w:sz w:val="20"/>
                <w:szCs w:val="20"/>
                <w:color w:val="auto"/>
              </w:rPr>
            </w:pPr>
            <w:r>
              <w:rPr>
                <w:rFonts w:ascii="Arial" w:cs="Arial" w:eastAsia="Arial" w:hAnsi="Arial"/>
                <w:sz w:val="12"/>
                <w:szCs w:val="12"/>
                <w:b w:val="1"/>
                <w:bCs w:val="1"/>
                <w:color w:val="auto"/>
                <w:w w:val="99"/>
              </w:rPr>
              <w:t>(A) or</w:t>
            </w:r>
          </w:p>
        </w:tc>
        <w:tc>
          <w:tcPr>
            <w:tcW w:w="9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Class A Units</w:t>
            </w:r>
          </w:p>
        </w:tc>
        <w:tc>
          <w:tcPr>
            <w:tcW w:w="1100" w:type="dxa"/>
            <w:vAlign w:val="bottom"/>
          </w:tcPr>
          <w:p>
            <w:pPr>
              <w:spacing w:after="0"/>
              <w:rPr>
                <w:sz w:val="22"/>
                <w:szCs w:val="22"/>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05/18/2026</w:t>
            </w: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4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0000FF"/>
              </w:rPr>
              <w:t>12,729</w:t>
            </w:r>
          </w:p>
        </w:tc>
        <w:tc>
          <w:tcPr>
            <w:tcW w:w="300" w:type="dxa"/>
            <w:vAlign w:val="bottom"/>
          </w:tcPr>
          <w:p>
            <w:pPr>
              <w:jc w:val="center"/>
              <w:ind w:left="48"/>
              <w:spacing w:after="0"/>
              <w:rPr>
                <w:sz w:val="20"/>
                <w:szCs w:val="20"/>
                <w:color w:val="auto"/>
              </w:rPr>
            </w:pPr>
            <w:r>
              <w:rPr>
                <w:rFonts w:ascii="Times New Roman" w:cs="Times New Roman" w:eastAsia="Times New Roman" w:hAnsi="Times New Roman"/>
                <w:sz w:val="17"/>
                <w:szCs w:val="17"/>
                <w:color w:val="0000FF"/>
              </w:rPr>
              <w:t>A</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74,253</w:t>
            </w:r>
          </w:p>
        </w:tc>
        <w:tc>
          <w:tcPr>
            <w:tcW w:w="9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Class A Units</w:t>
            </w:r>
          </w:p>
        </w:tc>
        <w:tc>
          <w:tcPr>
            <w:tcW w:w="1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05/18/2026</w:t>
            </w: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0000FF"/>
              </w:rPr>
              <w:t>12,729</w:t>
            </w:r>
          </w:p>
        </w:tc>
        <w:tc>
          <w:tcPr>
            <w:tcW w:w="300" w:type="dxa"/>
            <w:vAlign w:val="bottom"/>
            <w:tcBorders>
              <w:bottom w:val="single" w:sz="8" w:color="2C2C2C"/>
            </w:tcBorders>
          </w:tcPr>
          <w:p>
            <w:pPr>
              <w:jc w:val="center"/>
              <w:ind w:left="48"/>
              <w:spacing w:after="0"/>
              <w:rPr>
                <w:sz w:val="20"/>
                <w:szCs w:val="20"/>
                <w:color w:val="auto"/>
              </w:rPr>
            </w:pPr>
            <w:r>
              <w:rPr>
                <w:rFonts w:ascii="Times New Roman" w:cs="Times New Roman" w:eastAsia="Times New Roman" w:hAnsi="Times New Roman"/>
                <w:sz w:val="17"/>
                <w:szCs w:val="17"/>
                <w:color w:val="0000FF"/>
              </w:rPr>
              <w:t>D</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312,115.08</w:t>
            </w:r>
            <w:r>
              <w:rPr>
                <w:rFonts w:ascii="Times New Roman" w:cs="Times New Roman" w:eastAsia="Times New Roman" w:hAnsi="Times New Roman"/>
                <w:sz w:val="21"/>
                <w:szCs w:val="21"/>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61,524</w:t>
            </w:r>
          </w:p>
        </w:tc>
        <w:tc>
          <w:tcPr>
            <w:tcW w:w="9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6"/>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00" w:type="dxa"/>
            <w:vAlign w:val="bottom"/>
            <w:gridSpan w:val="13"/>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00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10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10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8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8"/>
              </w:rPr>
              <w:t>Beneficially</w:t>
            </w:r>
          </w:p>
        </w:tc>
        <w:tc>
          <w:tcPr>
            <w:tcW w:w="9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(A) or</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Security (Instr.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3, 4 and 5)</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Class</w:t>
            </w: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0000FF"/>
              </w:rPr>
              <w:t>12,729</w:t>
            </w:r>
          </w:p>
        </w:tc>
        <w:tc>
          <w:tcPr>
            <w:tcW w:w="260" w:type="dxa"/>
            <w:vAlign w:val="bottom"/>
          </w:tcPr>
          <w:p>
            <w:pPr>
              <w:spacing w:after="0"/>
              <w:rPr>
                <w:sz w:val="16"/>
                <w:szCs w:val="16"/>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00" w:type="dxa"/>
            <w:vAlign w:val="bottom"/>
            <w:vMerge w:val="restart"/>
          </w:tcPr>
          <w:p>
            <w:pPr>
              <w:jc w:val="right"/>
              <w:ind w:right="194"/>
              <w:spacing w:after="0" w:line="145" w:lineRule="exact"/>
              <w:rPr>
                <w:sz w:val="20"/>
                <w:szCs w:val="20"/>
                <w:color w:val="auto"/>
              </w:rPr>
            </w:pPr>
            <w:r>
              <w:rPr>
                <w:rFonts w:ascii="Times New Roman" w:cs="Times New Roman" w:eastAsia="Times New Roman" w:hAnsi="Times New Roman"/>
                <w:sz w:val="13"/>
                <w:szCs w:val="13"/>
                <w:color w:val="0000FF"/>
              </w:rPr>
              <w:t>05/18/2026</w:t>
            </w: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vMerge w:val="restart"/>
          </w:tcPr>
          <w:p>
            <w:pPr>
              <w:ind w:left="100"/>
              <w:spacing w:after="0" w:line="145" w:lineRule="exact"/>
              <w:rPr>
                <w:sz w:val="20"/>
                <w:szCs w:val="20"/>
                <w:color w:val="auto"/>
              </w:rPr>
            </w:pPr>
            <w:r>
              <w:rPr>
                <w:rFonts w:ascii="Times New Roman" w:cs="Times New Roman" w:eastAsia="Times New Roman" w:hAnsi="Times New Roman"/>
                <w:sz w:val="13"/>
                <w:szCs w:val="13"/>
                <w:color w:val="0000FF"/>
              </w:rPr>
              <w:t>M</w:t>
            </w:r>
          </w:p>
        </w:tc>
        <w:tc>
          <w:tcPr>
            <w:tcW w:w="860" w:type="dxa"/>
            <w:vAlign w:val="bottom"/>
            <w:gridSpan w:val="3"/>
            <w:vMerge w:val="restart"/>
          </w:tcPr>
          <w:p>
            <w:pPr>
              <w:jc w:val="right"/>
              <w:ind w:right="58"/>
              <w:spacing w:after="0" w:line="145" w:lineRule="exact"/>
              <w:rPr>
                <w:sz w:val="20"/>
                <w:szCs w:val="20"/>
                <w:color w:val="auto"/>
              </w:rPr>
            </w:pPr>
            <w:r>
              <w:rPr>
                <w:rFonts w:ascii="Times New Roman" w:cs="Times New Roman" w:eastAsia="Times New Roman" w:hAnsi="Times New Roman"/>
                <w:sz w:val="13"/>
                <w:szCs w:val="13"/>
                <w:color w:val="0000FF"/>
              </w:rPr>
              <w:t>12,729</w:t>
            </w:r>
          </w:p>
        </w:tc>
        <w:tc>
          <w:tcPr>
            <w:tcW w:w="740" w:type="dxa"/>
            <w:vAlign w:val="bottom"/>
            <w:gridSpan w:val="2"/>
            <w:vMerge w:val="restart"/>
          </w:tcPr>
          <w:p>
            <w:pPr>
              <w:jc w:val="right"/>
              <w:ind w:right="10"/>
              <w:spacing w:after="0" w:line="145" w:lineRule="exact"/>
              <w:rPr>
                <w:sz w:val="20"/>
                <w:szCs w:val="20"/>
                <w:color w:val="auto"/>
              </w:rPr>
            </w:pPr>
            <w:r>
              <w:rPr>
                <w:rFonts w:ascii="Times New Roman" w:cs="Times New Roman" w:eastAsia="Times New Roman" w:hAnsi="Times New Roman"/>
                <w:sz w:val="13"/>
                <w:szCs w:val="13"/>
                <w:color w:val="0000FF"/>
              </w:rPr>
              <w:t>05/18/2026</w:t>
            </w:r>
          </w:p>
        </w:tc>
        <w:tc>
          <w:tcPr>
            <w:tcW w:w="780" w:type="dxa"/>
            <w:vAlign w:val="bottom"/>
            <w:gridSpan w:val="2"/>
            <w:vMerge w:val="restart"/>
          </w:tcPr>
          <w:p>
            <w:pPr>
              <w:jc w:val="right"/>
              <w:ind w:right="28"/>
              <w:spacing w:after="0" w:line="145" w:lineRule="exact"/>
              <w:rPr>
                <w:sz w:val="20"/>
                <w:szCs w:val="20"/>
                <w:color w:val="auto"/>
              </w:rPr>
            </w:pPr>
            <w:r>
              <w:rPr>
                <w:rFonts w:ascii="Times New Roman" w:cs="Times New Roman" w:eastAsia="Times New Roman" w:hAnsi="Times New Roman"/>
                <w:sz w:val="13"/>
                <w:szCs w:val="13"/>
                <w:color w:val="0000FF"/>
              </w:rPr>
              <w:t>05/18/2026</w:t>
            </w:r>
          </w:p>
        </w:tc>
        <w:tc>
          <w:tcPr>
            <w:tcW w:w="100" w:type="dxa"/>
            <w:vAlign w:val="bottom"/>
          </w:tcPr>
          <w:p>
            <w:pPr>
              <w:spacing w:after="0"/>
              <w:rPr>
                <w:sz w:val="5"/>
                <w:szCs w:val="5"/>
                <w:color w:val="auto"/>
              </w:rPr>
            </w:pPr>
          </w:p>
        </w:tc>
        <w:tc>
          <w:tcPr>
            <w:tcW w:w="280" w:type="dxa"/>
            <w:vAlign w:val="bottom"/>
            <w:vMerge w:val="restart"/>
          </w:tcPr>
          <w:p>
            <w:pPr>
              <w:ind w:left="40"/>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vMerge w:val="restart"/>
          </w:tcPr>
          <w:p>
            <w:pPr>
              <w:jc w:val="right"/>
              <w:ind w:right="60"/>
              <w:spacing w:after="0" w:line="145" w:lineRule="exact"/>
              <w:rPr>
                <w:sz w:val="20"/>
                <w:szCs w:val="20"/>
                <w:color w:val="auto"/>
              </w:rPr>
            </w:pPr>
            <w:r>
              <w:rPr>
                <w:rFonts w:ascii="Times New Roman" w:cs="Times New Roman" w:eastAsia="Times New Roman" w:hAnsi="Times New Roman"/>
                <w:sz w:val="13"/>
                <w:szCs w:val="13"/>
                <w:color w:val="0000FF"/>
              </w:rPr>
              <w:t>8,492</w:t>
            </w:r>
          </w:p>
        </w:tc>
        <w:tc>
          <w:tcPr>
            <w:tcW w:w="900" w:type="dxa"/>
            <w:vAlign w:val="bottom"/>
            <w:vMerge w:val="restart"/>
          </w:tcPr>
          <w:p>
            <w:pPr>
              <w:ind w:left="540"/>
              <w:spacing w:after="0" w:line="145"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30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300" w:type="dxa"/>
            <w:vAlign w:val="bottom"/>
          </w:tcPr>
          <w:p>
            <w:pPr>
              <w:spacing w:after="0"/>
              <w:rPr>
                <w:sz w:val="16"/>
                <w:szCs w:val="16"/>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Class</w:t>
            </w:r>
          </w:p>
        </w:tc>
        <w:tc>
          <w:tcPr>
            <w:tcW w:w="6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8,492</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restart"/>
          </w:tcPr>
          <w:p>
            <w:pPr>
              <w:ind w:left="340"/>
              <w:spacing w:after="0" w:line="145"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00" w:type="dxa"/>
            <w:vAlign w:val="bottom"/>
            <w:vMerge w:val="restart"/>
          </w:tcPr>
          <w:p>
            <w:pPr>
              <w:jc w:val="right"/>
              <w:ind w:right="194"/>
              <w:spacing w:after="0" w:line="145" w:lineRule="exact"/>
              <w:rPr>
                <w:sz w:val="20"/>
                <w:szCs w:val="20"/>
                <w:color w:val="auto"/>
              </w:rPr>
            </w:pPr>
            <w:r>
              <w:rPr>
                <w:rFonts w:ascii="Times New Roman" w:cs="Times New Roman" w:eastAsia="Times New Roman" w:hAnsi="Times New Roman"/>
                <w:sz w:val="13"/>
                <w:szCs w:val="13"/>
                <w:color w:val="0000FF"/>
              </w:rPr>
              <w:t>05/18/2026</w:t>
            </w: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vMerge w:val="restart"/>
          </w:tcPr>
          <w:p>
            <w:pPr>
              <w:ind w:left="120"/>
              <w:spacing w:after="0" w:line="145" w:lineRule="exact"/>
              <w:rPr>
                <w:sz w:val="20"/>
                <w:szCs w:val="20"/>
                <w:color w:val="auto"/>
              </w:rPr>
            </w:pPr>
            <w:r>
              <w:rPr>
                <w:rFonts w:ascii="Times New Roman" w:cs="Times New Roman" w:eastAsia="Times New Roman" w:hAnsi="Times New Roman"/>
                <w:sz w:val="13"/>
                <w:szCs w:val="13"/>
                <w:color w:val="0000FF"/>
              </w:rPr>
              <w:t>D</w:t>
            </w:r>
          </w:p>
        </w:tc>
        <w:tc>
          <w:tcPr>
            <w:tcW w:w="420" w:type="dxa"/>
            <w:vAlign w:val="bottom"/>
          </w:tcPr>
          <w:p>
            <w:pPr>
              <w:spacing w:after="0"/>
              <w:rPr>
                <w:sz w:val="5"/>
                <w:szCs w:val="5"/>
                <w:color w:val="auto"/>
              </w:rPr>
            </w:pPr>
          </w:p>
        </w:tc>
        <w:tc>
          <w:tcPr>
            <w:tcW w:w="440" w:type="dxa"/>
            <w:vAlign w:val="bottom"/>
            <w:gridSpan w:val="2"/>
            <w:vMerge w:val="restart"/>
          </w:tcPr>
          <w:p>
            <w:pPr>
              <w:jc w:val="right"/>
              <w:ind w:right="78"/>
              <w:spacing w:after="0" w:line="145" w:lineRule="exact"/>
              <w:rPr>
                <w:sz w:val="20"/>
                <w:szCs w:val="20"/>
                <w:color w:val="auto"/>
              </w:rPr>
            </w:pPr>
            <w:r>
              <w:rPr>
                <w:rFonts w:ascii="Times New Roman" w:cs="Times New Roman" w:eastAsia="Times New Roman" w:hAnsi="Times New Roman"/>
                <w:sz w:val="13"/>
                <w:szCs w:val="13"/>
                <w:color w:val="0000FF"/>
                <w:w w:val="95"/>
              </w:rPr>
              <w:t>8,492</w:t>
            </w:r>
          </w:p>
        </w:tc>
        <w:tc>
          <w:tcPr>
            <w:tcW w:w="4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restart"/>
          </w:tcPr>
          <w:p>
            <w:pPr>
              <w:ind w:left="40"/>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vMerge w:val="restart"/>
          </w:tcPr>
          <w:p>
            <w:pPr>
              <w:ind w:left="20"/>
              <w:spacing w:after="0" w:line="145"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00" w:type="dxa"/>
            <w:vAlign w:val="bottom"/>
            <w:vMerge w:val="restart"/>
          </w:tcPr>
          <w:p>
            <w:pPr>
              <w:jc w:val="right"/>
              <w:ind w:right="180"/>
              <w:spacing w:after="0" w:line="145" w:lineRule="exact"/>
              <w:rPr>
                <w:sz w:val="20"/>
                <w:szCs w:val="20"/>
                <w:color w:val="auto"/>
              </w:rPr>
            </w:pPr>
            <w:r>
              <w:rPr>
                <w:rFonts w:ascii="Times New Roman" w:cs="Times New Roman" w:eastAsia="Times New Roman" w:hAnsi="Times New Roman"/>
                <w:sz w:val="13"/>
                <w:szCs w:val="13"/>
                <w:color w:val="0000FF"/>
              </w:rPr>
              <w:t>0</w:t>
            </w:r>
          </w:p>
        </w:tc>
        <w:tc>
          <w:tcPr>
            <w:tcW w:w="900" w:type="dxa"/>
            <w:vAlign w:val="bottom"/>
            <w:vMerge w:val="restart"/>
          </w:tcPr>
          <w:p>
            <w:pPr>
              <w:ind w:left="540"/>
              <w:spacing w:after="0" w:line="145"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-2406015</wp:posOffset>
            </wp:positionV>
            <wp:extent cx="29210" cy="2411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1109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40" w:right="500" w:firstLine="5"/>
        <w:spacing w:after="0" w:line="249" w:lineRule="auto"/>
        <w:tabs>
          <w:tab w:leader="none" w:pos="17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Unit represents the economic equivalent of one Class A Unit. These Phantom Units vested on September 25, 2025 and became payable on May 18, 2026 pursuant to the terms and conditions of the Phantom Unit Award Agreement. Each vested Phantom Unit represents the right to receive a cash payment in an amount equal to the average closing price of a Class A Unit for the 10 trading days immediately preceding May 18, 2026, subject to the terms and conditions of the Phantom Unit Award Agreement.</w:t>
      </w:r>
    </w:p>
    <w:p>
      <w:pPr>
        <w:spacing w:after="0" w:line="20" w:lineRule="exact"/>
        <w:rPr>
          <w:rFonts w:ascii="Times New Roman" w:cs="Times New Roman" w:eastAsia="Times New Roman" w:hAnsi="Times New Roman"/>
          <w:sz w:val="13"/>
          <w:szCs w:val="13"/>
          <w:color w:val="008000"/>
        </w:rPr>
      </w:pPr>
    </w:p>
    <w:p>
      <w:pPr>
        <w:ind w:left="180" w:hanging="135"/>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and conditions of the Phantom Unit Award Agreement, these Phantom Units were forfeited on May 18, 2026.</w:t>
      </w:r>
    </w:p>
    <w:p>
      <w:pPr>
        <w:spacing w:after="0" w:line="6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w w:val="99"/>
              </w:rPr>
              <w:t>/s/ Carney Hawks</w:t>
            </w:r>
          </w:p>
        </w:tc>
        <w:tc>
          <w:tcPr>
            <w:tcW w:w="84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w w:val="98"/>
              </w:rPr>
              <w:t>05/20/2026</w:t>
            </w:r>
          </w:p>
        </w:tc>
      </w:tr>
      <w:tr>
        <w:trPr>
          <w:trHeight w:val="20"/>
        </w:trPr>
        <w:tc>
          <w:tcPr>
            <w:tcW w:w="1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2"/>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6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0842" TargetMode="External"/><Relationship Id="rId14" Type="http://schemas.openxmlformats.org/officeDocument/2006/relationships/hyperlink" Target="http://www.sec.gov/cgi-bin/browse-edgar?action=getcompany&amp;CIK=0000922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2026-05-20T15:22:41Z</dcterms:created>
  <dcterms:modified xsi:type="dcterms:W3CDTF">2026-05-20T15:22:41Z</dcterms:modified>
</cp:coreProperties>
</file>